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color w:val="auto"/>
          <w:sz w:val="72"/>
          <w:szCs w:val="72"/>
          <w:highlight w:val="none"/>
        </w:rPr>
      </w:pPr>
      <w:r>
        <w:rPr>
          <w:rFonts w:ascii="楷体" w:hAnsi="楷体" w:eastAsia="楷体"/>
          <w:b/>
          <w:color w:val="auto"/>
          <w:sz w:val="72"/>
          <w:szCs w:val="72"/>
          <w:highlight w:val="none"/>
        </w:rPr>
      </w:r>
      <w:r/>
    </w:p>
    <w:p>
      <w:pPr>
        <w:jc w:val="center"/>
        <w:spacing w:line="1040" w:lineRule="exact"/>
        <w:rPr>
          <w:rFonts w:ascii="黑体" w:hAnsi="黑体" w:eastAsia="黑体"/>
          <w:b/>
          <w:color w:val="auto"/>
          <w:sz w:val="72"/>
          <w:szCs w:val="72"/>
          <w:highlight w:val="none"/>
        </w:rPr>
      </w:pPr>
      <w:r>
        <w:rPr>
          <w:rFonts w:ascii="黑体" w:hAnsi="黑体" w:eastAsia="黑体"/>
          <w:b/>
          <w:color w:val="auto"/>
          <w:sz w:val="72"/>
          <w:szCs w:val="72"/>
          <w:highlight w:val="none"/>
        </w:rPr>
      </w:r>
      <w:r/>
    </w:p>
    <w:p>
      <w:pPr>
        <w:jc w:val="center"/>
        <w:spacing w:line="1040" w:lineRule="exact"/>
        <w:rPr>
          <w:rFonts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ascii="黑体" w:hAnsi="黑体" w:eastAsia="黑体"/>
          <w:b/>
          <w:color w:val="auto"/>
          <w:sz w:val="72"/>
          <w:highlight w:val="none"/>
        </w:rPr>
      </w:pPr>
      <w:r>
        <w:rPr>
          <w:rFonts w:ascii="黑体" w:hAnsi="黑体" w:eastAsia="黑体"/>
          <w:b/>
          <w:color w:val="auto"/>
          <w:sz w:val="72"/>
          <w:highlight w:val="none"/>
        </w:rPr>
      </w:r>
      <w:r/>
    </w:p>
    <w:p>
      <w:pPr>
        <w:rPr>
          <w:rFonts w:ascii="黑体" w:hAnsi="黑体" w:eastAsia="黑体"/>
          <w:b/>
          <w:color w:val="auto"/>
          <w:sz w:val="32"/>
          <w:highlight w:val="none"/>
        </w:rPr>
      </w:pPr>
      <w:r>
        <w:rPr>
          <w:rFonts w:hint="eastAsia" w:ascii="黑体" w:hAnsi="黑体" w:eastAsia="黑体"/>
          <w:b/>
          <w:color w:val="auto"/>
          <w:sz w:val="32"/>
          <w:highlight w:val="none"/>
        </w:rPr>
        <w:t xml:space="preserve"> </w:t>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spacing w:line="7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项目名称:</w:t>
      </w:r>
      <w:r>
        <w:rPr>
          <w:rFonts w:hint="eastAsia" w:ascii="黑体" w:hAnsi="黑体" w:eastAsia="黑体"/>
          <w:b/>
          <w:color w:val="auto"/>
          <w:sz w:val="36"/>
          <w:szCs w:val="36"/>
          <w:highlight w:val="none"/>
          <w:lang w:eastAsia="zh-CN"/>
        </w:rPr>
        <w:t xml:space="preserve">淮安市医疗保障局医保系统运维服务项目</w:t>
      </w:r>
      <w:r>
        <w:rPr>
          <w:rFonts w:hint="eastAsia" w:ascii="黑体" w:hAnsi="黑体" w:eastAsia="黑体"/>
          <w:b/>
          <w:color w:val="auto"/>
          <w:sz w:val="36"/>
          <w:szCs w:val="36"/>
          <w:highlight w:val="none"/>
        </w:rPr>
        <w:t xml:space="preserve"> </w:t>
      </w:r>
      <w:r/>
    </w:p>
    <w:p>
      <w:pPr>
        <w:ind w:firstLine="354"/>
        <w:spacing w:line="760" w:lineRule="exact"/>
        <w:rPr>
          <w:rFonts w:ascii="黑体" w:hAnsi="黑体" w:eastAsia="黑体"/>
          <w:b/>
          <w:color w:val="auto"/>
          <w:sz w:val="36"/>
          <w:szCs w:val="36"/>
          <w:highlight w:val="none"/>
        </w:rPr>
      </w:pPr>
      <w:r>
        <w:rPr>
          <w:rFonts w:ascii="黑体" w:hAnsi="黑体" w:eastAsia="黑体"/>
          <w:b/>
          <w:color w:val="auto"/>
          <w:sz w:val="36"/>
          <w:szCs w:val="36"/>
          <w:highlight w:val="none"/>
        </w:rPr>
      </w:r>
      <w:r/>
    </w:p>
    <w:p>
      <w:pPr>
        <w:spacing w:line="760" w:lineRule="exact"/>
        <w:rPr>
          <w:rFonts w:ascii="黑体" w:hAnsi="黑体" w:eastAsia="黑体"/>
          <w:b/>
          <w:color w:val="auto"/>
          <w:sz w:val="36"/>
          <w:highlight w:val="none"/>
        </w:rPr>
      </w:pPr>
      <w:r>
        <w:rPr>
          <w:rFonts w:ascii="黑体" w:hAnsi="黑体" w:eastAsia="黑体"/>
          <w:b/>
          <w:color w:val="auto"/>
          <w:sz w:val="36"/>
          <w:highlight w:val="none"/>
        </w:rPr>
      </w:r>
      <w:r/>
    </w:p>
    <w:p>
      <w:pPr>
        <w:spacing w:line="760" w:lineRule="exact"/>
        <w:rPr>
          <w:rFonts w:ascii="黑体" w:hAnsi="黑体" w:eastAsia="黑体"/>
          <w:b/>
          <w:color w:val="auto"/>
          <w:sz w:val="36"/>
          <w:highlight w:val="none"/>
        </w:rPr>
      </w:pPr>
      <w:r>
        <w:rPr>
          <w:rFonts w:ascii="黑体" w:hAnsi="黑体" w:eastAsia="黑体"/>
          <w:b/>
          <w:color w:val="auto"/>
          <w:sz w:val="36"/>
          <w:highlight w:val="none"/>
        </w:rPr>
      </w:r>
      <w:r/>
    </w:p>
    <w:p>
      <w:pPr>
        <w:spacing w:line="760" w:lineRule="exact"/>
        <w:rPr>
          <w:rFonts w:hint="eastAsia" w:ascii="黑体" w:hAnsi="黑体" w:eastAsia="黑体"/>
          <w:b/>
          <w:color w:val="auto"/>
          <w:sz w:val="36"/>
          <w:highlight w:val="none"/>
          <w:lang w:eastAsia="zh-CN"/>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JSZC-320800-HAJY-G2025-0017</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jc w:val="center"/>
        <w:spacing w:line="600" w:lineRule="exact"/>
        <w:rPr>
          <w:rFonts w:hint="eastAsia" w:ascii="黑体" w:hAnsi="黑体" w:eastAsia="黑体"/>
          <w:b/>
          <w:color w:val="auto"/>
          <w:sz w:val="36"/>
          <w:szCs w:val="36"/>
          <w:highlight w:val="none"/>
          <w:u w:val="single"/>
          <w:lang w:eastAsia="zh-CN"/>
        </w:rPr>
      </w:pPr>
      <w:r>
        <w:rPr>
          <w:rFonts w:hint="eastAsia" w:ascii="黑体" w:hAnsi="黑体" w:eastAsia="黑体"/>
          <w:b/>
          <w:color w:val="auto"/>
          <w:sz w:val="36"/>
          <w:szCs w:val="36"/>
          <w:highlight w:val="none"/>
          <w:lang w:eastAsia="zh-CN"/>
        </w:rPr>
        <w:t xml:space="preserve">淮安江益工程项目管理咨询有限公司</w:t>
      </w:r>
      <w:r/>
    </w:p>
    <w:p>
      <w:pPr>
        <w:jc w:val="center"/>
        <w:spacing w:line="600" w:lineRule="exact"/>
        <w:tabs>
          <w:tab w:val="center" w:pos="5215" w:leader="none"/>
        </w:tabs>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二0二五年</w:t>
      </w:r>
      <w:r>
        <w:rPr>
          <w:rFonts w:hint="eastAsia" w:ascii="黑体" w:hAnsi="黑体" w:eastAsia="黑体"/>
          <w:b/>
          <w:color w:val="auto"/>
          <w:sz w:val="36"/>
          <w:szCs w:val="36"/>
          <w:highlight w:val="none"/>
          <w:lang w:val="en-US" w:eastAsia="zh-CN"/>
        </w:rPr>
        <w:t xml:space="preserve">十</w:t>
      </w:r>
      <w:r>
        <w:rPr>
          <w:rFonts w:hint="eastAsia" w:ascii="黑体" w:hAnsi="黑体" w:eastAsia="黑体"/>
          <w:b/>
          <w:color w:val="auto"/>
          <w:sz w:val="36"/>
          <w:szCs w:val="36"/>
          <w:highlight w:val="none"/>
        </w:rPr>
        <w:t xml:space="preserve">月</w:t>
      </w:r>
      <w:r/>
    </w:p>
    <w:p>
      <w:pPr>
        <w:rPr>
          <w:rFonts w:ascii="宋体" w:hAnsi="宋体"/>
          <w:color w:val="auto"/>
          <w:sz w:val="24"/>
          <w:highlight w:val="none"/>
        </w:rPr>
      </w:pPr>
      <w:r>
        <w:rPr>
          <w:rFonts w:ascii="宋体" w:hAnsi="宋体"/>
          <w:color w:val="auto"/>
          <w:sz w:val="24"/>
          <w:highlight w:val="none"/>
        </w:rPr>
      </w:r>
      <w:r/>
    </w:p>
    <w:p>
      <w:pPr>
        <w:ind w:firstLine="2512"/>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eastAsia="zh-CN"/>
        </w:rPr>
        <w:t xml:space="preserve">淮安市医疗保障局</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淮安江益工程项目管理咨询有限公司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lang w:eastAsia="zh-CN"/>
        </w:rPr>
        <w:t xml:space="preserve">医保系统运维服务项目</w:t>
      </w:r>
      <w:r>
        <w:rPr>
          <w:rFonts w:hint="eastAsia" w:ascii="仿宋" w:hAnsi="仿宋" w:eastAsia="仿宋"/>
          <w:color w:val="auto"/>
          <w:sz w:val="28"/>
          <w:highlight w:val="none"/>
        </w:rPr>
        <w:t xml:space="preserve">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30705"/>
                <wp:effectExtent l="4445" t="4445" r="6350" b="1270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3070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淮安市医疗保障局医保系统运维服务项目</w:t>
                            </w:r>
                            <w:r>
                              <w:rPr>
                                <w:rFonts w:hint="eastAsia" w:ascii="仿宋" w:hAnsi="仿宋" w:eastAsia="仿宋"/>
                                <w:sz w:val="28"/>
                                <w:szCs w:val="28"/>
                              </w:rPr>
                              <w:t xml:space="preserve">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:30（北京时间）前提交投标文件。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44.2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淮安市医疗保障局医保系统运维服务项目</w:t>
                      </w:r>
                      <w:r>
                        <w:rPr>
                          <w:rFonts w:hint="eastAsia" w:ascii="仿宋" w:hAnsi="仿宋" w:eastAsia="仿宋"/>
                          <w:sz w:val="28"/>
                          <w:szCs w:val="28"/>
                        </w:rPr>
                        <w:t xml:space="preserve">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:30（北京时间）前提交投标文件。</w:t>
                      </w:r>
                      <w:r/>
                    </w:p>
                    <w:p>
                      <w:r/>
                      <w:r/>
                    </w:p>
                  </w:txbxContent>
                </v:textbox>
              </v:shape>
            </w:pict>
          </mc:Fallback>
        </mc:AlternateContent>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JSZC-320800-HAJY-G2025-0017</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（二）项目名称:</w:t>
      </w:r>
      <w:r>
        <w:rPr>
          <w:rFonts w:hint="eastAsia" w:ascii="仿宋" w:hAnsi="仿宋" w:eastAsia="仿宋"/>
          <w:bCs/>
          <w:color w:val="auto"/>
          <w:sz w:val="28"/>
          <w:highlight w:val="none"/>
          <w:lang w:eastAsia="zh-CN"/>
        </w:rPr>
        <w:t xml:space="preserve">淮安市医疗保障局医保系统运维服务项目</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180</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val="en-US" w:eastAsia="zh-CN"/>
        </w:rPr>
        <w:t xml:space="preserve">180</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仿宋" w:hAnsi="仿宋" w:eastAsia="仿宋"/>
          <w:bCs/>
          <w:color w:val="auto"/>
          <w:sz w:val="28"/>
          <w:highlight w:val="none"/>
          <w:lang w:eastAsia="zh-CN"/>
        </w:rPr>
        <w:t xml:space="preserve">医保系统运维服务项目</w:t>
      </w:r>
      <w:r>
        <w:rPr>
          <w:rFonts w:hint="eastAsia" w:ascii="仿宋" w:hAnsi="仿宋" w:eastAsia="仿宋"/>
          <w:color w:val="auto"/>
          <w:sz w:val="28"/>
          <w:szCs w:val="28"/>
          <w:highlight w:val="none"/>
        </w:rPr>
        <w:t xml:space="preserve">，具体详见招标文件第五章项目采购需求。</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val="en-US" w:eastAsia="zh-CN"/>
        </w:rPr>
        <w:t xml:space="preserve">18个月</w:t>
      </w:r>
      <w:r>
        <w:rPr>
          <w:rFonts w:hint="eastAsia" w:ascii="仿宋" w:hAnsi="仿宋" w:eastAsia="仿宋"/>
          <w:color w:val="auto"/>
          <w:sz w:val="28"/>
          <w:szCs w:val="28"/>
          <w:highlight w:val="none"/>
        </w:rPr>
        <w:t xml:space="preserve">。          </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（七）本项目（□是☑否）接受联合体投标。</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（八）本项目采购标的对应的中小企业划分标准所属行业为工业 。</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3</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（三）本项目的特定资格要求:无</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（二）方式：在“淮安市政府采购网”自行免费下载招标文件。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（一）投标文件提交截止时间及开标时间:2025年</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17</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:30</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（二）投标文件上传地址：“苏采云”政府采购交易系统网上开标大厅。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0"/>
        <w:pageBreakBefore w:val="0"/>
        <w:spacing w:line="520" w:lineRule="exact"/>
        <w:rPr>
          <w:rFonts w:hint="eastAsia"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eastAsia="zh-CN"/>
        </w:rPr>
        <w:t xml:space="preserve">名称：淮安市医疗保障局 </w:t>
      </w:r>
      <w:r/>
    </w:p>
    <w:p>
      <w:pPr>
        <w:ind w:firstLine="560"/>
        <w:pageBreakBefore w:val="0"/>
        <w:spacing w:line="520" w:lineRule="exact"/>
        <w:rPr>
          <w:rFonts w:hint="eastAsia"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eastAsia="zh-CN"/>
        </w:rPr>
        <w:t xml:space="preserve">地址：江苏省淮安市淮安区翔宇南道1号 </w:t>
      </w:r>
      <w:r/>
    </w:p>
    <w:p>
      <w:pPr>
        <w:ind w:firstLine="560"/>
        <w:pageBreakBefore w:val="0"/>
        <w:spacing w:line="520" w:lineRule="exact"/>
        <w:rPr>
          <w:rFonts w:hint="eastAsia"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eastAsia="zh-CN"/>
        </w:rPr>
        <w:t xml:space="preserve">联系人：周兴勇 </w:t>
      </w:r>
      <w:r/>
    </w:p>
    <w:p>
      <w:pPr>
        <w:ind w:firstLine="560"/>
        <w:pageBreakBefore w:val="0"/>
        <w:spacing w:line="52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eastAsia="zh-CN"/>
        </w:rPr>
        <w:t xml:space="preserve">电话：0517-83909082</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pageBreakBefore w:val="0"/>
        <w:spacing w:line="520" w:lineRule="exact"/>
        <w:rPr>
          <w:rFonts w:hint="eastAsia"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eastAsia="zh-CN"/>
        </w:rPr>
        <w:t xml:space="preserve">名称:淮安江益工程项目管理咨询有限公司</w:t>
      </w:r>
      <w:r/>
    </w:p>
    <w:p>
      <w:pPr>
        <w:ind w:firstLine="560"/>
        <w:pageBreakBefore w:val="0"/>
        <w:spacing w:line="52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eastAsia="zh-CN"/>
        </w:rPr>
        <w:t xml:space="preserve">地址:</w:t>
      </w:r>
      <w:r>
        <w:rPr>
          <w:rFonts w:hint="eastAsia" w:ascii="仿宋" w:hAnsi="仿宋" w:eastAsia="仿宋" w:cs="Times New Roman"/>
          <w:color w:val="auto"/>
          <w:sz w:val="28"/>
          <w:szCs w:val="28"/>
          <w:highlight w:val="none"/>
          <w:lang w:val="en-US" w:eastAsia="zh-CN"/>
        </w:rPr>
        <w:t xml:space="preserve">淮安市淮阴区中业慧谷B27-2</w:t>
      </w:r>
      <w:r/>
    </w:p>
    <w:p>
      <w:pPr>
        <w:ind w:firstLine="560"/>
        <w:pageBreakBefore w:val="0"/>
        <w:spacing w:line="520" w:lineRule="exact"/>
        <w:rPr>
          <w:rFonts w:hint="default"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eastAsia="zh-CN"/>
        </w:rPr>
        <w:t xml:space="preserve">联 系 人：</w:t>
      </w:r>
      <w:r>
        <w:rPr>
          <w:rFonts w:hint="eastAsia" w:ascii="仿宋" w:hAnsi="仿宋" w:eastAsia="仿宋" w:cs="Times New Roman"/>
          <w:color w:val="auto"/>
          <w:sz w:val="28"/>
          <w:szCs w:val="28"/>
          <w:highlight w:val="none"/>
          <w:lang w:val="en-US" w:eastAsia="zh-CN"/>
        </w:rPr>
        <w:t xml:space="preserve">潘春红</w:t>
      </w:r>
      <w:r/>
    </w:p>
    <w:p>
      <w:pPr>
        <w:ind w:firstLine="56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s="Times New Roman"/>
          <w:color w:val="auto"/>
          <w:sz w:val="28"/>
          <w:szCs w:val="28"/>
          <w:highlight w:val="none"/>
          <w:lang w:eastAsia="zh-CN"/>
        </w:rPr>
        <w:t xml:space="preserve">电话：</w:t>
      </w:r>
      <w:r>
        <w:rPr>
          <w:rFonts w:hint="eastAsia" w:ascii="仿宋" w:hAnsi="仿宋" w:eastAsia="仿宋" w:cs="Times New Roman"/>
          <w:color w:val="auto"/>
          <w:sz w:val="28"/>
          <w:szCs w:val="28"/>
          <w:highlight w:val="none"/>
          <w:lang w:val="en-US" w:eastAsia="zh-CN"/>
        </w:rPr>
        <w:t xml:space="preserve">13023541300</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w:t>
      </w:r>
      <w:r>
        <w:rPr>
          <w:rFonts w:hint="eastAsia" w:ascii="仿宋" w:hAnsi="仿宋" w:eastAsia="仿宋"/>
          <w:color w:val="auto"/>
          <w:sz w:val="28"/>
          <w:szCs w:val="28"/>
          <w:highlight w:val="none"/>
          <w:lang w:eastAsia="zh-CN"/>
        </w:rPr>
        <w:t xml:space="preserve">淮安江益工程项目管理咨询有限公司</w:t>
      </w:r>
      <w:r>
        <w:rPr>
          <w:rFonts w:hint="eastAsia" w:ascii="仿宋" w:hAnsi="仿宋" w:eastAsia="仿宋"/>
          <w:color w:val="auto"/>
          <w:sz w:val="28"/>
          <w:szCs w:val="28"/>
          <w:highlight w:val="none"/>
        </w:rPr>
        <w:t xml:space="preserve">在“淮安市政府采购网”发布的更正公告。</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spacing w:line="520" w:lineRule="exact"/>
        <w:rPr>
          <w:rFonts w:ascii="仿宋" w:hAnsi="仿宋" w:eastAsia="仿宋"/>
          <w:b/>
          <w:color w:val="auto"/>
          <w:sz w:val="36"/>
          <w:szCs w:val="36"/>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第二章  投标人须知</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2.合格的投标人</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 满足招标文件中实质性条款的规定。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 投标人应自行承担所有与参加投标有关的费用。不论投标的结果如何，</w:t>
      </w:r>
      <w:r>
        <w:rPr>
          <w:rFonts w:hint="eastAsia" w:ascii="仿宋" w:hAnsi="仿宋" w:eastAsia="仿宋"/>
          <w:color w:val="auto"/>
          <w:sz w:val="28"/>
          <w:szCs w:val="28"/>
          <w:highlight w:val="none"/>
          <w:lang w:eastAsia="zh-CN"/>
        </w:rPr>
        <w:t xml:space="preserve">淮安江益工程项目管理咨询有限公司</w:t>
      </w:r>
      <w:r>
        <w:rPr>
          <w:rFonts w:hint="eastAsia" w:ascii="仿宋" w:hAnsi="仿宋" w:eastAsia="仿宋"/>
          <w:color w:val="auto"/>
          <w:sz w:val="28"/>
          <w:szCs w:val="28"/>
          <w:highlight w:val="none"/>
        </w:rPr>
        <w:t xml:space="preserve">（以下简称</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）在任何情况下均无义务和责任承担这些费用。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4.2本项目由淮安江益工程项目管理咨询有限公司协助采购人作了前期咨询工作。因此各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在报价时必须将咨询费用包含在报价中。</w:t>
      </w:r>
      <w:r>
        <w:rPr>
          <w:rFonts w:hint="eastAsia" w:ascii="仿宋" w:hAnsi="仿宋" w:eastAsia="仿宋" w:cs="仿宋"/>
          <w:color w:val="auto"/>
          <w:sz w:val="28"/>
          <w:szCs w:val="28"/>
          <w:highlight w:val="none"/>
          <w:lang w:val="zh-CN"/>
        </w:rPr>
        <w:t xml:space="preserve">本次项目的代理服务费</w:t>
      </w:r>
      <w:r>
        <w:rPr>
          <w:rFonts w:hint="eastAsia" w:ascii="仿宋" w:hAnsi="仿宋" w:eastAsia="仿宋" w:cs="仿宋"/>
          <w:color w:val="auto"/>
          <w:sz w:val="28"/>
          <w:szCs w:val="28"/>
          <w:highlight w:val="none"/>
        </w:rPr>
        <w:t xml:space="preserve">共计</w:t>
      </w:r>
      <w:r>
        <w:rPr>
          <w:rFonts w:hint="eastAsia" w:ascii="仿宋" w:hAnsi="仿宋" w:eastAsia="仿宋" w:cs="仿宋"/>
          <w:color w:val="auto"/>
          <w:sz w:val="28"/>
          <w:szCs w:val="28"/>
          <w:highlight w:val="none"/>
          <w:lang w:val="en-US" w:eastAsia="zh-CN"/>
        </w:rPr>
        <w:t xml:space="preserve">柒仟</w:t>
      </w:r>
      <w:r>
        <w:rPr>
          <w:rFonts w:hint="eastAsia" w:ascii="仿宋" w:hAnsi="仿宋" w:eastAsia="仿宋" w:cs="仿宋"/>
          <w:color w:val="auto"/>
          <w:sz w:val="28"/>
          <w:szCs w:val="28"/>
          <w:highlight w:val="none"/>
        </w:rPr>
        <w:t xml:space="preserve">元整,</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lang w:val="zh-CN"/>
        </w:rPr>
        <w:t xml:space="preserve">人在领取</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lang w:val="zh-CN"/>
        </w:rPr>
        <w:t xml:space="preserve">通知书前向采购代理机构一次性付清代理服务费。</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5、招标文件的约束力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5.1投标人一旦参加本项目采购活动，即被认为接受了本招标文件的规定和约束。</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投标邀请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投标人须知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合同文本</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6.4评标方法与评标标准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项目采购需求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 投标文件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在投标截止时间前，</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可以对招标文件进行修改。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有权按照法定的要求推迟投标截止日期和开标日期。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招标文件的修改将在江苏政府采购网、淮安市政府采购网公布，补充文件将作为招标文件的组成部分，并对投标人具有约束力。</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spacing w:line="520" w:lineRule="exact"/>
        <w:rPr>
          <w:rFonts w:ascii="仿宋" w:hAnsi="仿宋" w:eastAsia="仿宋"/>
          <w:color w:val="auto"/>
          <w:sz w:val="28"/>
          <w:szCs w:val="28"/>
          <w:highlight w:val="none"/>
        </w:rPr>
      </w:pPr>
      <w:r/>
      <w:bookmarkStart w:id="0" w:name="_Toc513029214"/>
      <w:r/>
      <w:bookmarkStart w:id="1" w:name="_Toc462564073"/>
      <w:r/>
      <w:bookmarkStart w:id="2" w:name="_Toc20823286"/>
      <w:r/>
      <w:bookmarkStart w:id="3" w:name="_Toc16938530"/>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投标人提交的投标文件以及投标人与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就有关投标的所有来往通知、函件和文件均应使用简体中文。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10.证明投标人及投标标的符合招标文件规定的文件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投标人应按照招标文件规定格式填报投标分项报价表。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 投标人可在投标文件中提供认为需要的其他技术文件或说明。</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 投标人需根据招标文件要求提供培训计划。</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 投标人需根据招标文件要求提供所投标的的主要组成部分、功能设计、实现思路及关键技术等。</w:t>
      </w:r>
      <w:r/>
    </w:p>
    <w:p>
      <w:pPr>
        <w:spacing w:line="520" w:lineRule="exact"/>
        <w:rPr>
          <w:rFonts w:ascii="仿宋" w:hAnsi="仿宋" w:eastAsia="仿宋"/>
          <w:color w:val="auto"/>
          <w:sz w:val="28"/>
          <w:szCs w:val="28"/>
          <w:highlight w:val="none"/>
        </w:rPr>
      </w:pPr>
      <w:r/>
      <w:bookmarkStart w:id="4" w:name="_Toc14577359"/>
      <w:r/>
      <w:bookmarkStart w:id="5" w:name="_Toc49090510"/>
      <w:r>
        <w:rPr>
          <w:rFonts w:hint="eastAsia" w:ascii="仿宋" w:hAnsi="仿宋" w:eastAsia="仿宋"/>
          <w:color w:val="auto"/>
          <w:sz w:val="28"/>
          <w:szCs w:val="28"/>
          <w:highlight w:val="none"/>
        </w:rPr>
        <w:t xml:space="preserve">14.投标函和开标一览表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 投标人应按照招标文件中提供的格式完整、正确填写投标函、开标一览表。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color w:val="auto"/>
          <w:sz w:val="28"/>
          <w:szCs w:val="28"/>
          <w:highlight w:val="none"/>
        </w:rPr>
      </w:pPr>
      <w:r/>
      <w:bookmarkStart w:id="6" w:name="_Toc14577360"/>
      <w:r/>
      <w:bookmarkStart w:id="7" w:name="_Toc49090511"/>
      <w:r>
        <w:rPr>
          <w:rFonts w:hint="eastAsia" w:ascii="仿宋" w:hAnsi="仿宋" w:eastAsia="仿宋"/>
          <w:color w:val="auto"/>
          <w:sz w:val="28"/>
          <w:szCs w:val="28"/>
          <w:highlight w:val="none"/>
        </w:rPr>
        <w:t xml:space="preserve">15.投标有效期</w:t>
      </w:r>
      <w:bookmarkEnd w:id="6"/>
      <w:r/>
      <w:bookmarkEnd w:id="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 投标有效期为</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规定的开标之日后九十（90）天。投标有效期比规定短的将被视为未实质性响应招标文件而予以拒绝。</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17.方案部分（本项目</w:t>
      </w:r>
      <w:r>
        <w:rPr>
          <w:rFonts w:hint="eastAsia" w:ascii="仿宋" w:hAnsi="仿宋" w:eastAsia="仿宋"/>
          <w:bCs/>
          <w:color w:val="auto"/>
          <w:sz w:val="28"/>
          <w:szCs w:val="28"/>
          <w:highlight w:val="none"/>
          <w:lang w:val="en-US" w:eastAsia="zh-CN"/>
        </w:rPr>
        <w:t xml:space="preserve">不</w:t>
      </w:r>
      <w:r>
        <w:rPr>
          <w:rFonts w:hint="eastAsia" w:ascii="仿宋" w:hAnsi="仿宋" w:eastAsia="仿宋"/>
          <w:bCs/>
          <w:color w:val="auto"/>
          <w:sz w:val="28"/>
          <w:szCs w:val="28"/>
          <w:highlight w:val="none"/>
        </w:rPr>
        <w:t xml:space="preserve">涉及）</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 本项目评标标准中的方案部分采用暗标方式进行评审。</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17.2 方案部分采用暗标方式进行评审的编制要求：</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17.3 供应商应按第17.2的要求编制方案，经三分之二评委认定，供应商未按第17.2的要求编制方案的，按未提供方案处理。</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18.1 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rPr>
          <w:rFonts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 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18.3 投标人上传电子投标文件的时间不得迟于投标邀请中规定的截止时间。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18.4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19.1 在招标文件规定的提交投标文件截止时间后上传的电子投标文件。</w:t>
      </w:r>
      <w:r/>
    </w:p>
    <w:p>
      <w:pPr>
        <w:spacing w:line="52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20.1 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20.2 投标人不得在开标时间以后修改电子投标文件。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20.3 投标人不得在提交电子投标文件截止时间起至投标有效期满前撤回电子投标文件。</w:t>
      </w:r>
      <w:r/>
    </w:p>
    <w:p>
      <w:pPr>
        <w:numPr>
          <w:ilvl w:val="0"/>
          <w:numId w:val="4"/>
        </w:numPr>
        <w:spacing w:line="520" w:lineRule="exact"/>
        <w:rPr>
          <w:rFonts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开标及评标</w:t>
      </w:r>
      <w:bookmarkEnd w:id="8"/>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21.1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21.2 开标仪式由</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21.3 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21.4 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highlight w:val="none"/>
        </w:rPr>
      </w:pPr>
      <w:r/>
      <w:bookmarkStart w:id="9" w:name="_Toc513029231"/>
      <w:r/>
      <w:bookmarkStart w:id="10" w:name="_Toc20823303"/>
      <w:r/>
      <w:bookmarkStart w:id="11" w:name="_Toc16938547"/>
      <w:r>
        <w:rPr>
          <w:rFonts w:hint="eastAsia" w:ascii="仿宋" w:hAnsi="仿宋" w:eastAsia="仿宋"/>
          <w:color w:val="auto"/>
          <w:sz w:val="28"/>
          <w:szCs w:val="28"/>
          <w:highlight w:val="none"/>
        </w:rPr>
        <w:t xml:space="preserve">22.评标委员会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22.1 开标后，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将立即组织评标委员会（以下简称评委会）进行评标。</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22.2 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22.3 评委会独立工作，负责评审所有投标文件并确定中标侯选人。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23．评标过程的保密与公正</w:t>
      </w:r>
      <w:bookmarkEnd w:id="9"/>
      <w:r/>
      <w:bookmarkEnd w:id="10"/>
      <w:r/>
      <w:bookmarkEnd w:id="11"/>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23.1 凡是与审查、澄清、评价和比较投标的有关资料以及授标建议等，采购人、评委、</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均不得向投标人或与评标无关的其他人员透露。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23.2 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和评标委员会不向未中标的投标人解释未中标原因，也不公布评标过程中的相关细节。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highlight w:val="none"/>
        </w:rPr>
      </w:pPr>
      <w:r/>
      <w:bookmarkStart w:id="12" w:name="_Toc16938548"/>
      <w:r/>
      <w:bookmarkStart w:id="13" w:name="_Toc20823304"/>
      <w:r/>
      <w:bookmarkStart w:id="14" w:name="_Toc513029232"/>
      <w:r>
        <w:rPr>
          <w:rFonts w:hint="eastAsia" w:ascii="仿宋" w:hAnsi="仿宋" w:eastAsia="仿宋"/>
          <w:color w:val="auto"/>
          <w:sz w:val="28"/>
          <w:szCs w:val="28"/>
          <w:highlight w:val="none"/>
        </w:rPr>
        <w:t xml:space="preserve">24．投标文件的澄清</w:t>
      </w:r>
      <w:bookmarkEnd w:id="12"/>
      <w:r/>
      <w:bookmarkEnd w:id="13"/>
      <w:r/>
      <w:bookmarkEnd w:id="14"/>
      <w:r/>
      <w:r/>
    </w:p>
    <w:p>
      <w:pPr>
        <w:ind w:firstLine="560"/>
        <w:spacing w:line="520" w:lineRule="exact"/>
        <w:rPr>
          <w:rFonts w:ascii="仿宋" w:hAnsi="仿宋" w:eastAsia="仿宋"/>
          <w:color w:val="auto"/>
          <w:sz w:val="28"/>
          <w:szCs w:val="28"/>
          <w:highlight w:val="none"/>
        </w:rPr>
      </w:pPr>
      <w:r/>
      <w:bookmarkStart w:id="15" w:name="_Toc16938549"/>
      <w:r/>
      <w:bookmarkStart w:id="16" w:name="_Toc513029233"/>
      <w:r/>
      <w:bookmarkStart w:id="17" w:name="_Toc20823305"/>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委会并非对每个投标人都做澄清要求</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24.3 接到评委会澄清、说明和补正要求的投标人如未按规定做出澄清、说明和补正，其风险由投标人自行承担。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5"/>
      <w:r/>
      <w:bookmarkEnd w:id="16"/>
      <w:r/>
      <w:bookmarkEnd w:id="1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 投标文件初审分为资格审查和符合性审查。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25.1.3 未通过资格审查或符合性审查的投标人，</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将在苏采云系统中告知未通过资格审查或符合性审查的原因，评审结束后，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将不再告知未通过资格审查或符合性审查的原因。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25.4 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25.5 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highlight w:val="none"/>
        </w:rPr>
      </w:pPr>
      <w:r/>
      <w:bookmarkStart w:id="18" w:name="_Toc20823306"/>
      <w:r/>
      <w:bookmarkStart w:id="19" w:name="_Toc16938550"/>
      <w:r/>
      <w:bookmarkStart w:id="20" w:name="_Toc513029234"/>
      <w:r>
        <w:rPr>
          <w:rFonts w:hint="eastAsia" w:ascii="仿宋" w:hAnsi="仿宋" w:eastAsia="仿宋"/>
          <w:color w:val="auto"/>
          <w:sz w:val="28"/>
          <w:szCs w:val="28"/>
          <w:highlight w:val="none"/>
        </w:rPr>
        <w:t xml:space="preserve">25.6 </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将载明其中的核心产品（桌面云一体机）</w:t>
      </w:r>
      <w:r>
        <w:rPr>
          <w:rFonts w:ascii="仿宋" w:hAnsi="仿宋" w:eastAsia="仿宋"/>
          <w:color w:val="auto"/>
          <w:sz w:val="28"/>
          <w:szCs w:val="28"/>
          <w:highlight w:val="none"/>
        </w:rPr>
        <w:t xml:space="preserve">。多家投标人提供的核心产品品牌相同的，按前两款规定处理。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25.7 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及评标委员会联系。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6.无效投标条款和废标条款</w:t>
      </w:r>
      <w:r/>
    </w:p>
    <w:p>
      <w:pPr>
        <w:ind w:firstLine="560"/>
        <w:spacing w:line="520" w:lineRule="exact"/>
        <w:rPr>
          <w:rFonts w:ascii="仿宋" w:hAnsi="仿宋" w:eastAsia="仿宋"/>
          <w:color w:val="auto"/>
          <w:sz w:val="28"/>
          <w:szCs w:val="28"/>
          <w:highlight w:val="none"/>
        </w:rPr>
      </w:pPr>
      <w:r/>
      <w:bookmarkStart w:id="21" w:name="_Toc20823307"/>
      <w:r/>
      <w:bookmarkStart w:id="22" w:name="_Toc16938551"/>
      <w:r/>
      <w:bookmarkStart w:id="23" w:name="_Toc513029235"/>
      <w:r>
        <w:rPr>
          <w:rFonts w:hint="eastAsia" w:ascii="仿宋" w:hAnsi="仿宋" w:eastAsia="仿宋"/>
          <w:color w:val="auto"/>
          <w:sz w:val="28"/>
          <w:szCs w:val="28"/>
          <w:highlight w:val="none"/>
        </w:rPr>
        <w:t xml:space="preserve">26.1无效投标条款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26.1.1 投标人在苏采云系统规定的时间内未成功解密电子投标文件的。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投标人不具备招标文件中规定资格要求的。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 投标人的报价超过了采购预算或最高限价的。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 未通过符合性审查的。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 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en-US" w:eastAsia="zh-CN"/>
        </w:rPr>
        <w:t xml:space="preserve">2 </w:t>
      </w:r>
      <w:r>
        <w:rPr>
          <w:rFonts w:hint="eastAsia" w:ascii="仿宋" w:hAnsi="仿宋" w:eastAsia="仿宋"/>
          <w:color w:val="auto"/>
          <w:sz w:val="28"/>
          <w:szCs w:val="28"/>
          <w:highlight w:val="none"/>
        </w:rPr>
        <w:t xml:space="preserve">其他法律、法规及本招标文件规定的属无效投标的情形。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 废标条款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26.2.1 符合专业条件的供应商或者对招标文件作实质响应的供应商不足三家的。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26.2.2 出现影响采购公正的违法、违规行为的。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26.2.3 因重大变故，采购任务取消的。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26.2.4 评标委员会认定招标文件存在歧义、重大缺陷导致评审工作无法进行。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26.2.5 因苏采云系统</w:t>
      </w:r>
      <w:r>
        <w:rPr>
          <w:rFonts w:ascii="仿宋" w:hAnsi="仿宋" w:eastAsia="仿宋"/>
          <w:color w:val="auto"/>
          <w:sz w:val="28"/>
          <w:szCs w:val="28"/>
          <w:highlight w:val="none"/>
        </w:rPr>
        <w:t xml:space="preserve">系统故障原因造成开标不成功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 投标截止时间结束后参加投标的供应商不足三家的处理：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spacing w:line="520" w:lineRule="exact"/>
        <w:rPr>
          <w:rFonts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定标</w:t>
      </w:r>
      <w:bookmarkEnd w:id="24"/>
      <w:r/>
      <w:r/>
    </w:p>
    <w:p>
      <w:pPr>
        <w:spacing w:line="520" w:lineRule="exact"/>
        <w:rPr>
          <w:rFonts w:ascii="仿宋" w:hAnsi="仿宋" w:eastAsia="仿宋"/>
          <w:color w:val="auto"/>
          <w:sz w:val="28"/>
          <w:szCs w:val="28"/>
          <w:highlight w:val="none"/>
        </w:rPr>
      </w:pPr>
      <w:r/>
      <w:bookmarkStart w:id="25" w:name="_Toc513029238"/>
      <w:r/>
      <w:bookmarkStart w:id="26" w:name="_Toc16938554"/>
      <w:r/>
      <w:bookmarkStart w:id="27" w:name="_Toc20823310"/>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7.确定</w:t>
      </w:r>
      <w:bookmarkEnd w:id="26"/>
      <w:r/>
      <w:bookmarkEnd w:id="27"/>
      <w:r>
        <w:rPr>
          <w:rFonts w:hint="eastAsia" w:ascii="仿宋" w:hAnsi="仿宋" w:eastAsia="仿宋"/>
          <w:color w:val="auto"/>
          <w:sz w:val="28"/>
          <w:szCs w:val="28"/>
          <w:highlight w:val="none"/>
        </w:rPr>
        <w:t xml:space="preserve">中标单位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 中标候选人的选取原则和数量见招标文件第三章规定。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27.2 采购人应根据评委会推荐的中标候选人确定中标人。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27.3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将在“江苏省政府采购网”、“淮安市政府采购网”发布中标公告，公告期限为1个工作日。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 若有充分证据证明，中标人出现下列情况之一的，一经查实，将被取消中标资格：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27.4.1 提供虚假材料谋取中标的。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27.4.2 向采购人、</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行贿或者提供其他不正当利益的。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27.4.3 属于本文件规定的无效条件，但在评标过程中又未被评委会发现的。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27.4.4 与采购人或者其他供应商恶意串通的。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27.4.5 采取不正当手段诋毁、排挤其他供应商的。</w:t>
      </w:r>
      <w:r/>
    </w:p>
    <w:p>
      <w:pPr>
        <w:ind w:firstLine="560"/>
        <w:spacing w:line="520" w:lineRule="exact"/>
        <w:rPr>
          <w:rFonts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27.5.1不同投标人的投标文件由同一单位或者个人编制；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27.5.2不同投标人委托同一单位或者个人办理投标事宜；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27.5.3 不同投标人的投标文件载明的项目管理成员或者联系人员为同一人；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27.5.4不同投标人的投标文件异常一致或者投标报价呈规律性差异；</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8．质疑处理</w:t>
      </w:r>
      <w:bookmarkEnd w:id="28"/>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28.2 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28.5 质疑函应当包括以下主要内容，附上相关证明材料。否则，</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（1）质疑投标人的名称、地址、邮编、联系人及联系电话；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28.6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收到质疑函后，将对质疑的形式和内容进行审查，如质疑函内容、格式不符合规定，</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28.7 对于内容、格式符合规定的质疑函，</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联系索取，或者在质疑函中明确提出该要求。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28.8 投标人提出的质疑必须有理、有据，不得恶意质疑或提交虚假质疑。否则，一经查实，</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29.l 中标结果确定后，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hAnsi="仿宋" w:eastAsia="仿宋"/>
          <w:b/>
          <w:color w:val="auto"/>
          <w:sz w:val="32"/>
          <w:szCs w:val="32"/>
          <w:highlight w:val="none"/>
        </w:rPr>
      </w:pPr>
      <w:r/>
      <w:bookmarkStart w:id="29" w:name="_Toc16938552"/>
      <w:r/>
      <w:bookmarkStart w:id="30" w:name="_Toc120614220"/>
      <w:r/>
      <w:bookmarkStart w:id="31" w:name="_Toc513029236"/>
      <w:r/>
      <w:bookmarkStart w:id="32" w:name="_Toc20823308"/>
      <w:r>
        <w:rPr>
          <w:rFonts w:hint="eastAsia" w:ascii="仿宋" w:hAnsi="仿宋" w:eastAsia="仿宋"/>
          <w:b/>
          <w:color w:val="auto"/>
          <w:sz w:val="32"/>
          <w:szCs w:val="32"/>
          <w:highlight w:val="none"/>
        </w:rPr>
        <w:t xml:space="preserve">授予合同</w:t>
      </w:r>
      <w:bookmarkEnd w:id="29"/>
      <w:r/>
      <w:bookmarkEnd w:id="30"/>
      <w:r/>
      <w:bookmarkEnd w:id="31"/>
      <w:r/>
      <w:bookmarkEnd w:id="32"/>
      <w:r/>
      <w:r/>
    </w:p>
    <w:p>
      <w:pPr>
        <w:spacing w:line="520" w:lineRule="exact"/>
        <w:rPr>
          <w:rFonts w:ascii="仿宋" w:hAnsi="仿宋" w:eastAsia="仿宋"/>
          <w:color w:val="auto"/>
          <w:sz w:val="28"/>
          <w:szCs w:val="28"/>
          <w:highlight w:val="none"/>
        </w:rPr>
      </w:pPr>
      <w:r/>
      <w:bookmarkStart w:id="33" w:name="_Toc20823309"/>
      <w:r/>
      <w:bookmarkStart w:id="34" w:name="_Toc513029237"/>
      <w:r/>
      <w:bookmarkStart w:id="35" w:name="_Toc16938553"/>
      <w:r>
        <w:rPr>
          <w:rFonts w:hint="eastAsia" w:ascii="仿宋" w:hAnsi="仿宋" w:eastAsia="仿宋"/>
          <w:color w:val="auto"/>
          <w:sz w:val="28"/>
          <w:szCs w:val="28"/>
          <w:highlight w:val="none"/>
        </w:rPr>
        <w:t xml:space="preserve">30. 签订合同</w:t>
      </w:r>
      <w:r>
        <w:rPr>
          <w:rFonts w:hint="eastAsia" w:ascii="仿宋" w:hAnsi="仿宋" w:eastAsia="仿宋"/>
          <w:color w:val="auto"/>
          <w:sz w:val="28"/>
          <w:szCs w:val="28"/>
          <w:highlight w:val="none"/>
        </w:rPr>
        <w:tab/>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30.l 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30.2 招标文件、中标人的投标文件及招标过程中有关澄清、承诺文件均应作为合同附件。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6"/>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32.履约保证金（本项目不涉及）</w:t>
      </w:r>
      <w:r/>
    </w:p>
    <w:p>
      <w:pPr>
        <w:pStyle w:val="916"/>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32.1乙方交纳人民币_________元作为本合同的履约保证金。（不得超过合同金额的10%）</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32.5如乙方未能履行合同规定的义务，甲方有权从履约保证金中取得补偿。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32.7履约保证金在合同约定期间内不予退还或者应完全有效，履约保证金在项目验收合格后无息退还给乙方。</w:t>
      </w:r>
      <w:bookmarkEnd w:id="33"/>
      <w:r/>
      <w:bookmarkEnd w:id="34"/>
      <w:r/>
      <w:bookmarkEnd w:id="35"/>
      <w:r/>
      <w:r/>
    </w:p>
    <w:p>
      <w:pPr>
        <w:spacing w:line="520" w:lineRule="exact"/>
        <w:rPr>
          <w:rFonts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 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33.1.1 </w:t>
      </w:r>
      <w:r>
        <w:rPr>
          <w:rFonts w:hint="eastAsia" w:ascii="仿宋" w:hAnsi="仿宋" w:eastAsia="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33.1.2 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 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 节能、环保政策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34.1 根据《财政部发展改革委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34.2 节能产品（本项目不涉及）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34.3 环保产品</w:t>
      </w:r>
      <w:r/>
    </w:p>
    <w:p>
      <w:pPr>
        <w:ind w:firstLine="560"/>
        <w:spacing w:line="52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rPr>
        <w:t xml:space="preserve">被列入“环境标志产品品目清单”的，实行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34.4 本项目中实行“强制采购”的，需提供国家市场监督管理总局确定的列入“参与实施政府采购节能</w:t>
      </w:r>
      <w:r>
        <w:rPr>
          <w:rFonts w:hint="eastAsia" w:ascii="仿宋" w:hAnsi="仿宋" w:eastAsia="仿宋"/>
          <w:color w:val="auto"/>
          <w:sz w:val="28"/>
          <w:highlight w:val="none"/>
        </w:rPr>
        <w:t xml:space="preserve">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35．政府绿色采购</w:t>
      </w:r>
      <w:r/>
    </w:p>
    <w:p>
      <w:pPr>
        <w:ind w:firstLine="28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32"/>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 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36.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四、具体标准:</w:t>
      </w:r>
      <w:r/>
    </w:p>
    <w:p>
      <w:pPr>
        <w:ind w:firstLine="495"/>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1、价格:</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分</w:t>
      </w:r>
      <w:r/>
    </w:p>
    <w:p>
      <w:pPr>
        <w:pStyle w:val="928"/>
        <w:ind w:firstLine="560"/>
        <w:spacing w:line="360" w:lineRule="auto"/>
        <w:rPr>
          <w:rFonts w:ascii="仿宋" w:hAnsi="仿宋" w:eastAsia="仿宋"/>
          <w:color w:val="auto"/>
          <w:szCs w:val="28"/>
          <w:highlight w:val="none"/>
        </w:rPr>
      </w:pPr>
      <w:r>
        <w:rPr>
          <w:rFonts w:hint="eastAsia" w:ascii="仿宋" w:hAnsi="仿宋" w:eastAsia="仿宋"/>
          <w:color w:val="auto"/>
          <w:szCs w:val="28"/>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28"/>
        <w:ind w:firstLine="560"/>
        <w:spacing w:line="360" w:lineRule="auto"/>
        <w:rPr>
          <w:rFonts w:ascii="仿宋" w:hAnsi="仿宋" w:eastAsia="仿宋"/>
          <w:color w:val="auto"/>
          <w:sz w:val="28"/>
          <w:szCs w:val="28"/>
          <w:highlight w:val="none"/>
        </w:rPr>
      </w:pPr>
      <w:r>
        <w:rPr>
          <w:rFonts w:hint="eastAsia" w:ascii="仿宋" w:hAnsi="仿宋" w:eastAsia="仿宋"/>
          <w:color w:val="auto"/>
          <w:szCs w:val="28"/>
          <w:highlight w:val="none"/>
        </w:rPr>
        <w:t xml:space="preserve">投标报价得分＝（评标基准价/投标报价）×</w:t>
      </w:r>
      <w:r>
        <w:rPr>
          <w:rFonts w:hint="eastAsia" w:ascii="仿宋" w:hAnsi="仿宋" w:eastAsia="仿宋"/>
          <w:color w:val="auto"/>
          <w:szCs w:val="28"/>
          <w:highlight w:val="none"/>
          <w:lang w:val="en-US" w:eastAsia="zh-CN"/>
        </w:rPr>
        <w:t xml:space="preserve">1</w:t>
      </w:r>
      <w:r>
        <w:rPr>
          <w:rFonts w:hint="eastAsia" w:ascii="仿宋" w:hAnsi="仿宋" w:eastAsia="仿宋"/>
          <w:color w:val="auto"/>
          <w:szCs w:val="28"/>
          <w:highlight w:val="none"/>
        </w:rPr>
        <w:t xml:space="preserve">0分</w:t>
      </w:r>
      <w:r/>
    </w:p>
    <w:p>
      <w:pPr>
        <w:ind w:firstLine="56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、方案部分:</w:t>
      </w:r>
      <w:r>
        <w:rPr>
          <w:rFonts w:hint="eastAsia" w:ascii="仿宋" w:hAnsi="仿宋" w:eastAsia="仿宋"/>
          <w:color w:val="auto"/>
          <w:sz w:val="28"/>
          <w:szCs w:val="28"/>
          <w:highlight w:val="none"/>
          <w:lang w:val="en-US" w:eastAsia="zh-CN"/>
        </w:rPr>
        <w:t xml:space="preserve">62</w:t>
      </w:r>
      <w:r>
        <w:rPr>
          <w:rFonts w:hint="eastAsia" w:ascii="仿宋" w:hAnsi="仿宋" w:eastAsia="仿宋"/>
          <w:color w:val="auto"/>
          <w:sz w:val="28"/>
          <w:szCs w:val="28"/>
          <w:highlight w:val="none"/>
        </w:rPr>
        <w:t xml:space="preserve">分</w:t>
      </w:r>
      <w:r/>
    </w:p>
    <w:p>
      <w:pPr>
        <w:spacing w:line="360" w:lineRule="auto"/>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   投标人按照下列要求提供方案，评委会根据投标人提供的方案进行评分，不提供分项方案或经三分之二评委认定分项方案存在重大偏离的，该分项不得分。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项目实施方案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投标人应根据招标文件要求</w:t>
      </w:r>
      <w:r>
        <w:rPr>
          <w:rFonts w:hint="eastAsia" w:ascii="仿宋" w:hAnsi="仿宋" w:eastAsia="仿宋" w:cs="Times New Roman"/>
          <w:color w:val="auto"/>
          <w:sz w:val="28"/>
          <w:szCs w:val="28"/>
          <w:highlight w:val="none"/>
        </w:rPr>
        <w:t xml:space="preserve">提供详细项目实施计划及实施方案，包括但不限于服务渠道、服务方式、岗位设置、服务流程、响应级别、人员保障等。整体思路及方案符合实际、与本项目的实际切合度高，可行性强的得6分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）运维管理体系（</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投标人应根据招标文件要求就本次投标提供运维管理体系方案</w:t>
      </w:r>
      <w:r>
        <w:rPr>
          <w:rFonts w:hint="eastAsia"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rPr>
        <w:t xml:space="preserve">整体思路及管理体系符合实际、与本项目的实际切合度高，可行性强的得</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整体思路及管理体系较合理、较可行，符合本项目的实际情况的得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整体思路及管理体系一般，满足基本要求得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w:t>
      </w:r>
      <w:r/>
    </w:p>
    <w:p>
      <w:pPr>
        <w:ind w:firstLine="56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hint="eastAsia" w:ascii="仿宋" w:hAnsi="仿宋" w:eastAsia="仿宋" w:cs="Times New Roman"/>
          <w:color w:val="auto"/>
          <w:sz w:val="28"/>
          <w:szCs w:val="28"/>
          <w:highlight w:val="none"/>
        </w:rPr>
        <w:t xml:space="preserve">需求变更响应</w:t>
      </w:r>
      <w:r>
        <w:rPr>
          <w:rFonts w:hint="eastAsia" w:ascii="仿宋" w:hAnsi="仿宋" w:eastAsia="仿宋"/>
          <w:color w:val="auto"/>
          <w:sz w:val="28"/>
          <w:szCs w:val="28"/>
          <w:highlight w:val="none"/>
        </w:rPr>
        <w:t xml:space="preserve">方案：（</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rPr>
        <w:t xml:space="preserve">投标人应根据招标文件要求及本项目特点提供需求变更响应方案。包括需求变更统一管理流程、响应规范等。整体思路及方案符合实际、与本项目的实际切合度高，可行性强的得6分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）版本升级管理方案：（</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投标人应根据招标文件要求及本项目特点提供版本升级管理方案。包括版本发布、版本测试、版本升级、版本回退等。整体思路及方案符合实际、与本项目的实际切合度高，可行性强的得6分；整体思路及方案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lang w:eastAsia="zh-CN"/>
        </w:rPr>
        <w:t xml:space="preserve">分；整体思路及方案一般，满足基本要求得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lang w:eastAsia="zh-CN"/>
        </w:rPr>
        <w:t xml:space="preserve">）安全、保密措施：（</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投标人应根据招标文件要求</w:t>
      </w:r>
      <w:r>
        <w:rPr>
          <w:rFonts w:hint="eastAsia" w:ascii="仿宋" w:hAnsi="仿宋" w:eastAsia="仿宋" w:cs="Times New Roman"/>
          <w:color w:val="auto"/>
          <w:sz w:val="28"/>
          <w:szCs w:val="28"/>
          <w:highlight w:val="none"/>
          <w:lang w:val="en-US" w:eastAsia="zh-CN"/>
        </w:rPr>
        <w:t xml:space="preserve">安全、</w:t>
      </w:r>
      <w:r>
        <w:rPr>
          <w:rFonts w:hint="eastAsia" w:ascii="仿宋" w:hAnsi="仿宋" w:eastAsia="仿宋" w:cs="Times New Roman"/>
          <w:color w:val="auto"/>
          <w:sz w:val="28"/>
          <w:szCs w:val="28"/>
          <w:highlight w:val="none"/>
          <w:lang w:eastAsia="zh-CN"/>
        </w:rPr>
        <w:t xml:space="preserve">保密管理，针对采购需求供应商须有严格的安全保密制度。具体措施符合实际、与本项目的实际切合度高，可行性强的得</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分；具体措施较合理、较可行，符合本项目的实际情况的得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lang w:eastAsia="zh-CN"/>
        </w:rPr>
        <w:t xml:space="preserve">分；具体措施一般，满足基本要求得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应急保障处置方案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投标人应根据招标文件要求</w:t>
      </w:r>
      <w:r>
        <w:rPr>
          <w:rFonts w:hint="eastAsia" w:ascii="仿宋" w:hAnsi="仿宋" w:eastAsia="仿宋" w:cs="Times New Roman"/>
          <w:color w:val="auto"/>
          <w:sz w:val="28"/>
          <w:szCs w:val="28"/>
          <w:highlight w:val="none"/>
        </w:rPr>
        <w:t xml:space="preserve">提供应急保障预案及其应对措施，内容包括但不限于设备宕机、系统瘫痪、网络攻击、病毒传播等影响平台、系统正常运行，在维保服务期巡检、故障处理的组织和联系机制</w:t>
      </w:r>
      <w:r>
        <w:rPr>
          <w:rFonts w:hint="eastAsia" w:ascii="仿宋" w:hAnsi="仿宋" w:eastAsia="仿宋" w:cs="Times New Roman"/>
          <w:color w:val="auto"/>
          <w:sz w:val="28"/>
          <w:szCs w:val="28"/>
          <w:highlight w:val="none"/>
          <w:lang w:val="en-US" w:eastAsia="zh-CN"/>
        </w:rPr>
        <w:t xml:space="preserve">等</w:t>
      </w:r>
      <w:r>
        <w:rPr>
          <w:rFonts w:hint="eastAsia" w:ascii="仿宋" w:hAnsi="仿宋" w:eastAsia="仿宋" w:cs="Times New Roman"/>
          <w:color w:val="auto"/>
          <w:sz w:val="28"/>
          <w:szCs w:val="28"/>
          <w:highlight w:val="none"/>
        </w:rPr>
        <w:t xml:space="preserve">。整体思路及方案符合实际、与本项目的实际切合度高，可行性强的得</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7）</w:t>
      </w:r>
      <w:r>
        <w:rPr>
          <w:rFonts w:hint="eastAsia" w:ascii="仿宋" w:hAnsi="仿宋" w:eastAsia="仿宋" w:cs="Times New Roman"/>
          <w:color w:val="auto"/>
          <w:sz w:val="28"/>
          <w:szCs w:val="28"/>
          <w:highlight w:val="none"/>
        </w:rPr>
        <w:t xml:space="preserve">日常运维统计和报告</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eastAsia="zh-CN"/>
        </w:rPr>
        <w:t xml:space="preserve">投标人应</w:t>
      </w:r>
      <w:r>
        <w:rPr>
          <w:rFonts w:hint="eastAsia" w:ascii="仿宋" w:hAnsi="仿宋" w:eastAsia="仿宋" w:cs="Times New Roman"/>
          <w:color w:val="auto"/>
          <w:sz w:val="28"/>
          <w:szCs w:val="28"/>
          <w:highlight w:val="none"/>
        </w:rPr>
        <w:t xml:space="preserve">根据采购单位的系统实际情况，提供日常运维统计和报告表单模板，包含日常运维台账、现场维护服务单等。表单模板符合实际、与本项目的实际切合度高，可行性强的得6分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表单模板较合理、较可行，符合本项目的实际情况的得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表单模板一般，满足基本要求得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rPr>
        <w:t xml:space="preserve">运维服务人员管理方案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投标人应根据招标文件要求</w:t>
      </w:r>
      <w:r>
        <w:rPr>
          <w:rFonts w:hint="eastAsia" w:ascii="仿宋" w:hAnsi="仿宋" w:eastAsia="仿宋" w:cs="Times New Roman"/>
          <w:color w:val="auto"/>
          <w:sz w:val="28"/>
          <w:szCs w:val="28"/>
          <w:highlight w:val="none"/>
        </w:rPr>
        <w:t xml:space="preserve">制定对本项目适用的运维服务人员管理方案。整体思路及方案符合实际、与本项目的实际切合度高，可行性强的得5分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整体思路及方案较合理、较可行，符合本项目的实际情况的得3分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整体思路及方案一般，满足基本要求得1分。</w:t>
      </w:r>
      <w:r/>
    </w:p>
    <w:p>
      <w:pPr>
        <w:ind w:firstLine="560"/>
        <w:spacing w:line="360" w:lineRule="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9）</w:t>
      </w:r>
      <w:r>
        <w:rPr>
          <w:rFonts w:hint="eastAsia" w:ascii="仿宋" w:hAnsi="仿宋" w:eastAsia="仿宋" w:cs="Times New Roman"/>
          <w:color w:val="auto"/>
          <w:sz w:val="28"/>
          <w:szCs w:val="28"/>
          <w:highlight w:val="none"/>
        </w:rPr>
        <w:t xml:space="preserve">定期巡检服务方案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投标人应根据招标文件要求</w:t>
      </w:r>
      <w:r>
        <w:rPr>
          <w:rFonts w:hint="eastAsia" w:ascii="仿宋" w:hAnsi="仿宋" w:eastAsia="仿宋" w:cs="Times New Roman"/>
          <w:color w:val="auto"/>
          <w:sz w:val="28"/>
          <w:szCs w:val="28"/>
          <w:highlight w:val="none"/>
        </w:rPr>
        <w:t xml:space="preserve">提供专家团队，对项目运维服务情况进行定期巡检，提供巡检方案。整体思路及方案符合实际、与本项目的实际切合度高，可行性强的得5分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整体思路及方案较合理、较可行，符合本项目的实际情况的得3分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整体思路及方案一般，满足基本要求得1分。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10）</w:t>
      </w:r>
      <w:r>
        <w:rPr>
          <w:rFonts w:hint="eastAsia" w:ascii="仿宋" w:hAnsi="仿宋" w:eastAsia="仿宋" w:cs="Times New Roman"/>
          <w:color w:val="auto"/>
          <w:sz w:val="28"/>
          <w:szCs w:val="28"/>
          <w:highlight w:val="none"/>
        </w:rPr>
        <w:t xml:space="preserve">开发运维技术支持服务方案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lang w:val="en-US" w:eastAsia="zh-CN"/>
        </w:rPr>
        <w:t xml:space="preserve">针对本项目</w:t>
      </w:r>
      <w:r>
        <w:rPr>
          <w:rFonts w:hint="eastAsia" w:ascii="仿宋" w:hAnsi="仿宋" w:eastAsia="仿宋" w:cs="Times New Roman"/>
          <w:color w:val="auto"/>
          <w:sz w:val="28"/>
          <w:szCs w:val="28"/>
          <w:highlight w:val="none"/>
        </w:rPr>
        <w:t xml:space="preserve">提供开发运维技术支持服务方案，运维支撑服务贴合实际要求。整体思路及方案符合实际、与本项目的实际切合度高，可行性强的得6分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整体思路及方案较合理、较可行，符合本项目的实际情况的得</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整体思路及方案一般，满足基本要求得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11）</w:t>
      </w:r>
      <w:r>
        <w:rPr>
          <w:rFonts w:hint="eastAsia" w:ascii="仿宋" w:hAnsi="仿宋" w:eastAsia="仿宋" w:cs="Times New Roman"/>
          <w:color w:val="auto"/>
          <w:sz w:val="28"/>
          <w:szCs w:val="28"/>
          <w:highlight w:val="none"/>
        </w:rPr>
        <w:t xml:space="preserve">培训方案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lang w:eastAsia="zh-CN"/>
        </w:rPr>
        <w:t xml:space="preserve">分）</w:t>
      </w:r>
      <w:r/>
    </w:p>
    <w:p>
      <w:pPr>
        <w:ind w:firstLine="560"/>
        <w:spacing w:line="360" w:lineRule="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eastAsia="zh-CN"/>
        </w:rPr>
        <w:t xml:space="preserve">投标人应根据招标文件要求</w:t>
      </w:r>
      <w:r>
        <w:rPr>
          <w:rFonts w:hint="eastAsia" w:ascii="仿宋" w:hAnsi="仿宋" w:eastAsia="仿宋" w:cs="Times New Roman"/>
          <w:color w:val="auto"/>
          <w:sz w:val="28"/>
          <w:szCs w:val="28"/>
          <w:highlight w:val="none"/>
          <w:lang w:val="en-US" w:eastAsia="zh-CN"/>
        </w:rPr>
        <w:t xml:space="preserve">提</w:t>
      </w:r>
      <w:r>
        <w:rPr>
          <w:rFonts w:hint="eastAsia" w:ascii="仿宋" w:hAnsi="仿宋" w:eastAsia="仿宋" w:cs="Times New Roman"/>
          <w:color w:val="auto"/>
          <w:sz w:val="28"/>
          <w:szCs w:val="28"/>
          <w:highlight w:val="none"/>
        </w:rPr>
        <w:t xml:space="preserve">供全面可行的培训方案，包括服务体系和维护内容、故障解决方案、解决时间、软件升级等。整体思路及方案符合实际、与本项目的实际切合度高，可行性强的得4分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整体思路及方案较合理、较可行，符合本项目的实际情况的得</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整体思路及方案一般，满足基本要求得1分。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、商务部分:</w:t>
      </w:r>
      <w:r>
        <w:rPr>
          <w:rFonts w:hint="eastAsia" w:ascii="仿宋" w:hAnsi="仿宋" w:eastAsia="仿宋" w:cs="Times New Roman"/>
          <w:color w:val="auto"/>
          <w:sz w:val="28"/>
          <w:szCs w:val="28"/>
          <w:highlight w:val="none"/>
          <w:lang w:val="en-US" w:eastAsia="zh-CN"/>
        </w:rPr>
        <w:t xml:space="preserve">24</w:t>
      </w:r>
      <w:r>
        <w:rPr>
          <w:rFonts w:hint="eastAsia" w:ascii="仿宋" w:hAnsi="仿宋" w:eastAsia="仿宋" w:cs="Times New Roman"/>
          <w:color w:val="auto"/>
          <w:sz w:val="28"/>
          <w:szCs w:val="28"/>
          <w:highlight w:val="none"/>
        </w:rPr>
        <w:t xml:space="preserve">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投标人具有IS09001质量管理体系认证证书、ISO27001信息安全管理体系认证证书、ISO22301业务连续性管理体系的，每提供1个证书得2分，最高得6分。（提供相关证明材料扫描件并加盖投标人电子签章，未提供的不得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（2）投标人自2021年1月1日以来（以合同签订时间为准）具备类似业绩的，每提供一个得</w:t>
      </w: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分，本项最多得</w:t>
      </w:r>
      <w:r>
        <w:rPr>
          <w:rFonts w:hint="eastAsia" w:ascii="仿宋" w:hAnsi="仿宋" w:eastAsia="仿宋" w:cs="Times New Roman"/>
          <w:color w:val="auto"/>
          <w:sz w:val="28"/>
          <w:szCs w:val="28"/>
          <w:highlight w:val="none"/>
          <w:lang w:val="en-US" w:eastAsia="zh-CN"/>
        </w:rPr>
        <w:t xml:space="preserve">9</w:t>
      </w:r>
      <w:r>
        <w:rPr>
          <w:rFonts w:hint="eastAsia" w:ascii="仿宋" w:hAnsi="仿宋" w:eastAsia="仿宋" w:cs="Times New Roman"/>
          <w:color w:val="auto"/>
          <w:sz w:val="28"/>
          <w:szCs w:val="28"/>
          <w:highlight w:val="none"/>
        </w:rPr>
        <w:t xml:space="preserve">分，没有不得分。（提供业绩合同扫描件并加盖投标人电子签章，未提供的不得分）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（3）投标人针对本项目拟派的项目负责人，具有信息系统项目管理师证书的得</w:t>
      </w: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分，没有不得分。（提供相关证明材料扫描件并加盖投标人电子签章，未提供的不得分）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（4）投标人针对本项目拟派的驻场服务人员（含运维服务工程师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不含</w:t>
      </w:r>
      <w:r>
        <w:rPr>
          <w:rFonts w:hint="eastAsia" w:ascii="仿宋" w:hAnsi="仿宋" w:eastAsia="仿宋" w:cs="Times New Roman"/>
          <w:color w:val="auto"/>
          <w:sz w:val="28"/>
          <w:szCs w:val="28"/>
          <w:highlight w:val="none"/>
        </w:rPr>
        <w:t xml:space="preserve">项目负责人）或后台开发运维支持服务团队（非驻场工作人员）具有以下证书：网络工程师、系统分析师、软件设计师，每有一项得2分，本项最多得6分，没有不得分。（提供相关证明材料扫描件并加盖投标人电子签章，未提供的不得分）</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注：以上（3）-（4）项不同岗位不能由同一人员兼任，须提供投标人为项目组人员缴纳的2025年</w:t>
      </w: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月以来任意1月的社保证明及相关证书复印件加盖投标人电子签章，不提供不得分。</w:t>
      </w:r>
      <w:r/>
    </w:p>
    <w:p>
      <w:pPr>
        <w:ind w:firstLine="560"/>
        <w:spacing w:line="360" w:lineRule="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4、售后服务：4分</w:t>
      </w:r>
      <w:r/>
    </w:p>
    <w:p>
      <w:pPr>
        <w:ind w:firstLine="560"/>
        <w:spacing w:line="360" w:lineRule="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应当具备应急保障响应能力，出现故障事件按照</w:t>
      </w:r>
      <w:r>
        <w:rPr>
          <w:rFonts w:hint="eastAsia" w:ascii="仿宋" w:hAnsi="仿宋" w:eastAsia="仿宋" w:cs="Times New Roman"/>
          <w:color w:val="auto"/>
          <w:sz w:val="28"/>
          <w:szCs w:val="28"/>
          <w:highlight w:val="none"/>
          <w:lang w:eastAsia="zh-CN"/>
        </w:rPr>
        <w:t xml:space="preserve">招标</w:t>
      </w:r>
      <w:r>
        <w:rPr>
          <w:rFonts w:hint="eastAsia" w:ascii="仿宋" w:hAnsi="仿宋" w:eastAsia="仿宋" w:cs="Times New Roman"/>
          <w:color w:val="auto"/>
          <w:sz w:val="28"/>
          <w:szCs w:val="28"/>
          <w:highlight w:val="none"/>
        </w:rPr>
        <w:t xml:space="preserve">文件要求进行服务响应，详见</w:t>
      </w:r>
      <w:r>
        <w:rPr>
          <w:rFonts w:hint="eastAsia" w:ascii="仿宋" w:hAnsi="仿宋" w:eastAsia="仿宋" w:cs="Times New Roman"/>
          <w:color w:val="auto"/>
          <w:sz w:val="28"/>
          <w:szCs w:val="28"/>
          <w:highlight w:val="none"/>
          <w:lang w:eastAsia="zh-CN"/>
        </w:rPr>
        <w:t xml:space="preserve">招标</w:t>
      </w:r>
      <w:r>
        <w:rPr>
          <w:rFonts w:hint="eastAsia" w:ascii="仿宋" w:hAnsi="仿宋" w:eastAsia="仿宋" w:cs="Times New Roman"/>
          <w:color w:val="auto"/>
          <w:sz w:val="28"/>
          <w:szCs w:val="28"/>
          <w:highlight w:val="none"/>
        </w:rPr>
        <w:t xml:space="preserve">文件中应急保障内容：建立完善应急机制和应急预案以满足业务持续性要求，保障系统稳定运行、系统故障及时排解。提供承诺函的得4分，未提供承诺函的不得分。（响应文件提供承诺函并加盖供应商公章，承诺函格式自拟）</w:t>
      </w:r>
      <w:r/>
    </w:p>
    <w:p>
      <w:pPr>
        <w:ind w:firstLine="56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jc w:val="center"/>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jc w:val="center"/>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jc w:val="center"/>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jc w:val="center"/>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jc w:val="center"/>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jc w:val="center"/>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rPr>
          <w:rFonts w:ascii="仿宋" w:hAnsi="仿宋" w:eastAsia="仿宋"/>
          <w:b/>
          <w:color w:val="auto"/>
          <w:sz w:val="36"/>
          <w:szCs w:val="36"/>
          <w:highlight w:val="none"/>
        </w:rPr>
      </w:pPr>
      <w:r>
        <w:rPr>
          <w:rFonts w:hint="eastAsia" w:ascii="仿宋" w:hAnsi="仿宋" w:eastAsia="仿宋"/>
          <w:b/>
          <w:color w:val="auto"/>
          <w:sz w:val="36"/>
          <w:szCs w:val="36"/>
          <w:highlight w:val="none"/>
        </w:rPr>
        <w:br w:type="page" w:clear="all"/>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firstLine="560"/>
        <w:spacing w:line="520" w:lineRule="exact"/>
        <w:tabs>
          <w:tab w:val="left" w:pos="180" w:leader="none"/>
        </w:tabs>
        <w:rPr>
          <w:rFonts w:ascii="仿宋" w:hAnsi="仿宋" w:eastAsia="仿宋"/>
          <w:color w:val="auto"/>
          <w:sz w:val="32"/>
          <w:highlight w:val="none"/>
        </w:rPr>
      </w:pPr>
      <w:r>
        <w:rPr>
          <w:rFonts w:hint="eastAsia" w:ascii="仿宋" w:hAnsi="仿宋" w:eastAsia="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16"/>
        <w:ind w:firstLine="3066"/>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6"/>
        <w:ind w:firstLine="3066"/>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一、合同格式</w:t>
      </w:r>
      <w:r/>
    </w:p>
    <w:p>
      <w:pPr>
        <w:jc w:val="left"/>
        <w:spacing w:line="52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 xml:space="preserve">甲方</w:t>
      </w:r>
      <w:r>
        <w:rPr>
          <w:rFonts w:ascii="仿宋" w:hAnsi="仿宋" w:eastAsia="仿宋" w:cs="Arial Unicode MS"/>
          <w:color w:val="auto"/>
          <w:sz w:val="28"/>
          <w:szCs w:val="28"/>
          <w:highlight w:val="none"/>
        </w:rPr>
        <w:t xml:space="preserve">: </w:t>
      </w:r>
      <w:r/>
    </w:p>
    <w:p>
      <w:pPr>
        <w:pStyle w:val="916"/>
        <w:spacing w:line="520" w:lineRule="exact"/>
        <w:rPr>
          <w:rFonts w:ascii="仿宋" w:hAnsi="仿宋" w:eastAsia="仿宋"/>
          <w:color w:val="auto"/>
          <w:sz w:val="28"/>
          <w:szCs w:val="28"/>
          <w:highlight w:val="none"/>
        </w:rPr>
      </w:pPr>
      <w:r>
        <w:rPr>
          <w:rFonts w:hint="eastAsia" w:ascii="仿宋" w:hAnsi="仿宋" w:eastAsia="仿宋" w:cs="Arial Unicode MS"/>
          <w:color w:val="auto"/>
          <w:sz w:val="28"/>
          <w:szCs w:val="28"/>
          <w:highlight w:val="none"/>
        </w:rPr>
        <w:t xml:space="preserve">乙方</w:t>
      </w:r>
      <w:r>
        <w:rPr>
          <w:rFonts w:ascii="仿宋" w:hAnsi="仿宋" w:eastAsia="仿宋" w:cs="Arial Unicode MS"/>
          <w:color w:val="auto"/>
          <w:sz w:val="28"/>
          <w:szCs w:val="28"/>
          <w:highlight w:val="none"/>
        </w:rPr>
        <w:t xml:space="preserve">:</w:t>
      </w:r>
      <w:r/>
    </w:p>
    <w:p>
      <w:pPr>
        <w:pStyle w:val="916"/>
        <w:ind w:firstLine="63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甲、乙双方根据项目编号          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采购项目公开招标采购结果及招标文件的要求</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经协商一致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达成如下购销合同</w:t>
      </w:r>
      <w:r>
        <w:rPr>
          <w:rFonts w:ascii="仿宋" w:hAnsi="仿宋" w:eastAsia="仿宋"/>
          <w:color w:val="auto"/>
          <w:sz w:val="28"/>
          <w:szCs w:val="28"/>
          <w:highlight w:val="none"/>
        </w:rPr>
        <w:t xml:space="preserve">:</w:t>
      </w:r>
      <w:r/>
    </w:p>
    <w:p>
      <w:pPr>
        <w:pStyle w:val="916"/>
        <w:ind w:left="-359" w:firstLine="963"/>
        <w:spacing w:line="520" w:lineRule="exact"/>
        <w:rPr>
          <w:rFonts w:hint="default" w:ascii="仿宋" w:hAnsi="仿宋" w:eastAsia="仿宋"/>
          <w:color w:val="auto"/>
          <w:sz w:val="28"/>
          <w:highlight w:val="none"/>
          <w:lang w:val="en-US" w:eastAsia="zh-CN"/>
        </w:rPr>
      </w:pPr>
      <w:r>
        <w:rPr>
          <w:rFonts w:hint="eastAsia" w:ascii="仿宋" w:hAnsi="仿宋" w:eastAsia="仿宋"/>
          <w:color w:val="auto"/>
          <w:sz w:val="28"/>
          <w:szCs w:val="28"/>
          <w:highlight w:val="none"/>
        </w:rPr>
        <w:t xml:space="preserve">一</w:t>
      </w: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服务及要求</w:t>
      </w:r>
      <w:r/>
    </w:p>
    <w:p>
      <w:pPr>
        <w:pStyle w:val="916"/>
        <w:ind w:firstLine="560"/>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本合同所提供的</w:t>
      </w:r>
      <w:r>
        <w:rPr>
          <w:rFonts w:hint="eastAsia" w:ascii="仿宋" w:hAnsi="仿宋" w:eastAsia="仿宋"/>
          <w:color w:val="auto"/>
          <w:sz w:val="28"/>
          <w:highlight w:val="none"/>
          <w:lang w:val="en-US" w:eastAsia="zh-CN"/>
        </w:rPr>
        <w:t xml:space="preserve">服务及要求</w:t>
      </w:r>
      <w:r>
        <w:rPr>
          <w:rFonts w:hint="eastAsia" w:ascii="仿宋" w:hAnsi="仿宋" w:eastAsia="仿宋"/>
          <w:color w:val="auto"/>
          <w:sz w:val="28"/>
          <w:szCs w:val="24"/>
          <w:highlight w:val="none"/>
        </w:rPr>
        <w:t xml:space="preserve">详见“项目</w:t>
      </w:r>
      <w:r>
        <w:rPr>
          <w:rFonts w:hint="eastAsia" w:ascii="仿宋" w:hAnsi="仿宋" w:eastAsia="仿宋"/>
          <w:color w:val="auto"/>
          <w:sz w:val="28"/>
          <w:highlight w:val="none"/>
        </w:rPr>
        <w:t xml:space="preserve">采购需求</w:t>
      </w:r>
      <w:r>
        <w:rPr>
          <w:rFonts w:hint="eastAsia" w:ascii="仿宋" w:hAnsi="仿宋" w:eastAsia="仿宋"/>
          <w:color w:val="auto"/>
          <w:sz w:val="28"/>
          <w:szCs w:val="24"/>
          <w:highlight w:val="none"/>
        </w:rPr>
        <w:t xml:space="preserve">”。</w:t>
      </w:r>
      <w:r/>
    </w:p>
    <w:p>
      <w:pPr>
        <w:pStyle w:val="916"/>
        <w:ind w:left="-359" w:firstLine="96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二、合同金额</w:t>
      </w:r>
      <w:r/>
    </w:p>
    <w:p>
      <w:pPr>
        <w:pStyle w:val="916"/>
        <w:ind w:firstLine="495"/>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本合同的总金额(大写)为___________元人民币，分项价格详见乙方提交的投标报价明细表。</w:t>
      </w:r>
      <w:r/>
    </w:p>
    <w:p>
      <w:pPr>
        <w:pStyle w:val="916"/>
        <w:ind w:left="-359" w:firstLine="963"/>
        <w:spacing w:line="520" w:lineRule="exact"/>
        <w:rPr>
          <w:rFonts w:ascii="仿宋" w:hAnsi="仿宋" w:eastAsia="仿宋"/>
          <w:bCs/>
          <w:color w:val="auto"/>
          <w:sz w:val="28"/>
          <w:szCs w:val="32"/>
          <w:highlight w:val="none"/>
        </w:rPr>
      </w:pPr>
      <w:r>
        <w:rPr>
          <w:rFonts w:hint="eastAsia" w:ascii="仿宋" w:hAnsi="仿宋" w:eastAsia="仿宋"/>
          <w:bCs/>
          <w:color w:val="auto"/>
          <w:sz w:val="28"/>
          <w:szCs w:val="32"/>
          <w:highlight w:val="none"/>
        </w:rPr>
        <w:t xml:space="preserve">三、</w:t>
      </w:r>
      <w:r>
        <w:rPr>
          <w:rFonts w:hint="eastAsia" w:ascii="仿宋" w:hAnsi="仿宋" w:eastAsia="仿宋"/>
          <w:bCs/>
          <w:color w:val="auto"/>
          <w:sz w:val="28"/>
          <w:szCs w:val="32"/>
          <w:highlight w:val="none"/>
          <w:lang w:val="en-US" w:eastAsia="zh-CN"/>
        </w:rPr>
        <w:t xml:space="preserve">服务</w:t>
      </w:r>
      <w:r>
        <w:rPr>
          <w:rFonts w:hint="eastAsia" w:ascii="仿宋" w:hAnsi="仿宋" w:eastAsia="仿宋"/>
          <w:color w:val="auto"/>
          <w:sz w:val="28"/>
          <w:highlight w:val="none"/>
        </w:rPr>
        <w:t xml:space="preserve">时间和地点</w:t>
      </w:r>
      <w:r/>
    </w:p>
    <w:p>
      <w:pPr>
        <w:pStyle w:val="916"/>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w:t>
      </w:r>
      <w:r>
        <w:rPr>
          <w:rFonts w:hint="eastAsia" w:ascii="仿宋" w:hAnsi="仿宋" w:eastAsia="仿宋"/>
          <w:bCs/>
          <w:color w:val="auto"/>
          <w:sz w:val="28"/>
          <w:szCs w:val="32"/>
          <w:highlight w:val="none"/>
          <w:lang w:val="en-US" w:eastAsia="zh-CN"/>
        </w:rPr>
        <w:t xml:space="preserve">服务</w:t>
      </w:r>
      <w:r>
        <w:rPr>
          <w:rFonts w:hint="eastAsia" w:ascii="仿宋" w:hAnsi="仿宋" w:eastAsia="仿宋"/>
          <w:color w:val="auto"/>
          <w:sz w:val="28"/>
          <w:szCs w:val="28"/>
          <w:highlight w:val="none"/>
        </w:rPr>
        <w:t xml:space="preserve">时间和地点在招标文件中有明确规定。</w:t>
      </w:r>
      <w:r/>
    </w:p>
    <w:p>
      <w:pPr>
        <w:pStyle w:val="916"/>
        <w:ind w:left="-357" w:firstLine="963"/>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四、付款</w:t>
      </w:r>
      <w:r/>
    </w:p>
    <w:p>
      <w:pPr>
        <w:pStyle w:val="916"/>
        <w:ind w:firstLine="560"/>
        <w:spacing w:line="520" w:lineRule="exact"/>
        <w:rPr>
          <w:rFonts w:hint="default" w:ascii="仿宋" w:hAnsi="仿宋" w:eastAsia="仿宋"/>
          <w:color w:val="auto"/>
          <w:sz w:val="28"/>
          <w:szCs w:val="24"/>
          <w:highlight w:val="none"/>
          <w:lang w:val="en-US" w:eastAsia="zh-CN"/>
        </w:rPr>
      </w:pPr>
      <w:r>
        <w:rPr>
          <w:rFonts w:hint="eastAsia" w:ascii="仿宋" w:hAnsi="仿宋" w:eastAsia="仿宋"/>
          <w:color w:val="auto"/>
          <w:sz w:val="28"/>
          <w:szCs w:val="24"/>
          <w:highlight w:val="none"/>
        </w:rPr>
        <w:t xml:space="preserve">合同签订后预付合同价的40%，2025年12月31日前付至合同总价的95%，2026年12月31日前验收合格后付清余款</w:t>
      </w:r>
      <w:r>
        <w:rPr>
          <w:rFonts w:hint="eastAsia" w:ascii="仿宋" w:hAnsi="仿宋" w:eastAsia="仿宋"/>
          <w:color w:val="auto"/>
          <w:sz w:val="28"/>
          <w:szCs w:val="24"/>
          <w:highlight w:val="none"/>
          <w:lang w:val="en-US" w:eastAsia="zh-CN"/>
        </w:rPr>
        <w:t xml:space="preserve">。</w:t>
      </w:r>
      <w:r/>
    </w:p>
    <w:p>
      <w:pPr>
        <w:pStyle w:val="916"/>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五、验收</w:t>
      </w:r>
      <w:r/>
    </w:p>
    <w:p>
      <w:pPr>
        <w:pStyle w:val="916"/>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甲方按招标文件相关要求进行。如需委托第三方验收，第三方是指:</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，验收费用由甲方承担。因乙方交付的货物不符合标准导致甲方重复支出的验收费用，由乙方承担。</w:t>
      </w:r>
      <w:r>
        <w:rPr>
          <w:rFonts w:ascii="仿宋" w:hAnsi="仿宋" w:eastAsia="仿宋"/>
          <w:color w:val="auto"/>
          <w:sz w:val="28"/>
          <w:szCs w:val="28"/>
          <w:highlight w:val="none"/>
        </w:rPr>
        <w:t xml:space="preserve"> </w:t>
      </w:r>
      <w:r/>
    </w:p>
    <w:p>
      <w:pPr>
        <w:pStyle w:val="916"/>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六、履约保证金（本项目不涉及）</w:t>
      </w:r>
      <w:r/>
    </w:p>
    <w:p>
      <w:pPr>
        <w:pStyle w:val="916"/>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乙方交纳人民币_________元作为本合同的履约保证金。</w:t>
      </w:r>
      <w:r>
        <w:rPr>
          <w:rFonts w:hint="eastAsia" w:ascii="仿宋" w:hAnsi="仿宋" w:eastAsia="仿宋"/>
          <w:color w:val="auto"/>
          <w:sz w:val="28"/>
          <w:szCs w:val="28"/>
          <w:highlight w:val="none"/>
        </w:rPr>
        <w:t xml:space="preserve">（不得超过合同金额的10%）</w:t>
      </w:r>
      <w:r/>
    </w:p>
    <w:p>
      <w:pPr>
        <w:numPr>
          <w:ilvl w:val="0"/>
          <w:numId w:val="5"/>
        </w:num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乙方提供的履约保证金可以是人民币形式（银行本票、汇票、支票、电汇），或</w:t>
      </w:r>
      <w:r>
        <w:rPr>
          <w:rFonts w:ascii="仿宋" w:hAnsi="仿宋" w:eastAsia="仿宋"/>
          <w:color w:val="auto"/>
          <w:sz w:val="28"/>
          <w:szCs w:val="28"/>
          <w:highlight w:val="none"/>
        </w:rPr>
        <w:t xml:space="preserve">银行保函、担保公司的保证担保或保险公司的保证保险等多种形式。</w:t>
      </w:r>
      <w:r/>
    </w:p>
    <w:p>
      <w:pPr>
        <w:numPr>
          <w:ilvl w:val="0"/>
          <w:numId w:val="5"/>
        </w:num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选取银行保函、担保公司的保证担保或保险公司的保证保险等形式的向采购人缴纳</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，如保函（担保、保险等）</w:t>
      </w:r>
      <w:r>
        <w:rPr>
          <w:rFonts w:hint="eastAsia" w:ascii="仿宋" w:hAnsi="仿宋" w:eastAsia="仿宋"/>
          <w:color w:val="auto"/>
          <w:sz w:val="28"/>
          <w:szCs w:val="28"/>
          <w:highlight w:val="none"/>
        </w:rPr>
        <w:t xml:space="preserve">的约定期到期但乙方履约仍未结束的</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须进行续保。</w:t>
      </w:r>
      <w:r/>
    </w:p>
    <w:p>
      <w:pPr>
        <w:numPr>
          <w:ilvl w:val="0"/>
          <w:numId w:val="5"/>
        </w:num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5、如乙方未能履行合同规定的义务，甲方有权从履约保证金中取得补偿。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6、履约保证金在合同约定期间内不予退还或者应完全有效，约定期间届满之日起</w:t>
      </w:r>
      <w:r>
        <w:rPr>
          <w:rFonts w:ascii="仿宋" w:hAnsi="仿宋" w:eastAsia="仿宋"/>
          <w:color w:val="auto"/>
          <w:sz w:val="28"/>
          <w:szCs w:val="28"/>
          <w:highlight w:val="none"/>
        </w:rPr>
        <w:t xml:space="preserve"> 5</w:t>
      </w:r>
      <w:r>
        <w:rPr>
          <w:rFonts w:hint="eastAsia" w:ascii="仿宋" w:hAnsi="仿宋" w:eastAsia="仿宋"/>
          <w:color w:val="auto"/>
          <w:sz w:val="28"/>
          <w:szCs w:val="28"/>
          <w:highlight w:val="none"/>
        </w:rPr>
        <w:t xml:space="preserve">个工作日内，甲方应将履约保证金退还乙方；逾期退还的，按中国人民银行同期贷款基利率上浮</w:t>
      </w:r>
      <w:r>
        <w:rPr>
          <w:rFonts w:ascii="仿宋" w:hAnsi="仿宋" w:eastAsia="仿宋"/>
          <w:color w:val="auto"/>
          <w:sz w:val="28"/>
          <w:szCs w:val="28"/>
          <w:highlight w:val="none"/>
        </w:rPr>
        <w:t xml:space="preserve">20%</w:t>
      </w:r>
      <w:r>
        <w:rPr>
          <w:rFonts w:hint="eastAsia" w:ascii="仿宋" w:hAnsi="仿宋" w:eastAsia="仿宋"/>
          <w:color w:val="auto"/>
          <w:sz w:val="28"/>
          <w:szCs w:val="28"/>
          <w:highlight w:val="none"/>
        </w:rPr>
        <w:t xml:space="preserve">后的利率支付超期资金占用费，但因乙方自身原因导致无法及时退还的除外。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7、履约保证金在合同约定期间内不予退还或者应完全有效，履约保证金在项目验收合格后无息退还给乙方。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七、合同纠纷处理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本合同执行过程中发生纠纷，由甲乙双方协商解决，若协商不成，作如下</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处理:</w:t>
      </w:r>
      <w:r>
        <w:rPr>
          <w:rFonts w:ascii="仿宋" w:hAnsi="仿宋" w:eastAsia="仿宋"/>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、申请仲裁。选定仲裁机构为淮安市仲裁委员会。</w:t>
      </w:r>
      <w:r>
        <w:rPr>
          <w:rFonts w:ascii="仿宋" w:hAnsi="仿宋" w:eastAsia="仿宋"/>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、提起诉讼。约定由采购人所在地法院管辖。</w:t>
      </w:r>
      <w:r>
        <w:rPr>
          <w:rFonts w:ascii="仿宋" w:hAnsi="仿宋" w:eastAsia="仿宋"/>
          <w:color w:val="auto"/>
          <w:sz w:val="28"/>
          <w:szCs w:val="28"/>
          <w:highlight w:val="none"/>
        </w:rPr>
        <w:t xml:space="preserve"> </w:t>
      </w:r>
      <w:r/>
    </w:p>
    <w:p>
      <w:pPr>
        <w:ind w:firstLine="54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八、合同生效及其它</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本合同经甲、乙双方加盖电子签章后生效。如有变动，必须经甲方、乙方协商一致后，方可更改。</w:t>
      </w:r>
      <w:r/>
    </w:p>
    <w:p>
      <w:pPr>
        <w:ind w:firstLine="54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九、组成本合同的文件包括</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1、合同格式及条款；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2、招标文件和乙方的投标文件；</w:t>
      </w:r>
      <w:r>
        <w:rPr>
          <w:rFonts w:ascii="仿宋" w:hAnsi="仿宋" w:eastAsia="仿宋"/>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3、中标通知书；</w:t>
      </w:r>
      <w:r>
        <w:rPr>
          <w:rFonts w:ascii="仿宋" w:hAnsi="仿宋" w:eastAsia="仿宋"/>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上述合同文件内容互为补充，如有不明确，由甲方负责解释。</w:t>
      </w:r>
      <w:r/>
    </w:p>
    <w:p>
      <w:pPr>
        <w:pStyle w:val="916"/>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6"/>
        <w:spacing w:line="520" w:lineRule="exact"/>
        <w:rPr>
          <w:rFonts w:ascii="仿宋" w:hAnsi="仿宋" w:eastAsia="仿宋"/>
          <w:color w:val="auto"/>
          <w:sz w:val="28"/>
          <w:szCs w:val="24"/>
          <w:highlight w:val="none"/>
        </w:rPr>
      </w:pPr>
      <w:r>
        <w:rPr>
          <w:rFonts w:hint="eastAsia" w:ascii="仿宋" w:hAnsi="仿宋" w:eastAsia="仿宋"/>
          <w:color w:val="auto"/>
          <w:sz w:val="28"/>
          <w:szCs w:val="28"/>
          <w:highlight w:val="none"/>
        </w:rPr>
        <w:t xml:space="preserve">甲</w:t>
      </w:r>
      <w:r>
        <w:rPr>
          <w:rFonts w:hint="eastAsia" w:ascii="仿宋" w:hAnsi="仿宋" w:eastAsia="仿宋"/>
          <w:color w:val="auto"/>
          <w:sz w:val="28"/>
          <w:szCs w:val="24"/>
          <w:highlight w:val="none"/>
        </w:rPr>
        <w:t xml:space="preserve">    方:                          </w:t>
      </w:r>
      <w:r>
        <w:rPr>
          <w:rFonts w:hint="eastAsia" w:ascii="仿宋" w:hAnsi="仿宋" w:eastAsia="仿宋"/>
          <w:color w:val="auto"/>
          <w:sz w:val="28"/>
          <w:szCs w:val="28"/>
          <w:highlight w:val="none"/>
        </w:rPr>
        <w:t xml:space="preserve">乙</w:t>
      </w:r>
      <w:r>
        <w:rPr>
          <w:rFonts w:hint="eastAsia" w:ascii="仿宋" w:hAnsi="仿宋" w:eastAsia="仿宋"/>
          <w:color w:val="auto"/>
          <w:sz w:val="28"/>
          <w:szCs w:val="24"/>
          <w:highlight w:val="none"/>
        </w:rPr>
        <w:t xml:space="preserve">    方:</w:t>
      </w:r>
      <w:r/>
    </w:p>
    <w:p>
      <w:pPr>
        <w:pStyle w:val="916"/>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单位盖章:（电子签章）              单位盖章:（电子签章）</w:t>
      </w:r>
      <w:r/>
    </w:p>
    <w:p>
      <w:pPr>
        <w:pStyle w:val="916"/>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代表签字:                          代表签字:</w:t>
      </w:r>
      <w:r/>
    </w:p>
    <w:p>
      <w:pPr>
        <w:pStyle w:val="916"/>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签定日期:                          签定日期:</w:t>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2492"/>
        <w:spacing w:line="640" w:lineRule="exact"/>
        <w:tabs>
          <w:tab w:val="left" w:pos="180" w:leader="none"/>
        </w:tabs>
        <w:rPr>
          <w:rFonts w:ascii="宋体" w:hAnsi="宋体"/>
          <w:color w:val="auto"/>
          <w:sz w:val="28"/>
          <w:szCs w:val="28"/>
          <w:highlight w:val="none"/>
        </w:rPr>
      </w:pPr>
      <w:r>
        <w:rPr>
          <w:rFonts w:ascii="宋体" w:hAnsi="宋体"/>
          <w:color w:val="auto"/>
          <w:sz w:val="28"/>
          <w:szCs w:val="28"/>
          <w:highlight w:val="none"/>
        </w:rPr>
      </w:r>
      <w:r/>
    </w:p>
    <w:p>
      <w:pPr>
        <w:ind w:firstLine="3113"/>
        <w:spacing w:line="520" w:lineRule="exact"/>
        <w:tabs>
          <w:tab w:val="left" w:pos="1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3113"/>
        <w:spacing w:line="520" w:lineRule="exact"/>
        <w:tabs>
          <w:tab w:val="left" w:pos="1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二、合同条款</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1.定义</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本合同中下列术语应解释为</w:t>
      </w:r>
      <w:r>
        <w:rPr>
          <w:rFonts w:hint="eastAsia" w:ascii="仿宋" w:hAnsi="仿宋" w:eastAsia="仿宋"/>
          <w:color w:val="auto"/>
          <w:sz w:val="28"/>
          <w:szCs w:val="28"/>
          <w:highlight w:val="none"/>
        </w:rPr>
        <w:t xml:space="preserve">:</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（2）“合同价”系指根据合同规定，乙方在完全履行合同义务后甲方应支付给乙方的价格。</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（5）“甲方”系指购买货物（含软件及相关服务）的单位。</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（6）“乙方”系指根据合同规定提供货物（含软件及相关服务）和服务的投标人。</w:t>
      </w:r>
      <w:r/>
    </w:p>
    <w:p>
      <w:pPr>
        <w:spacing w:line="520" w:lineRule="exact"/>
        <w:rPr>
          <w:rFonts w:ascii="仿宋" w:hAnsi="仿宋" w:eastAsia="仿宋"/>
          <w:bCs/>
          <w:color w:val="auto"/>
          <w:sz w:val="28"/>
          <w:highlight w:val="none"/>
        </w:rPr>
      </w:pPr>
      <w:r>
        <w:rPr>
          <w:rFonts w:hint="eastAsia" w:ascii="仿宋" w:hAnsi="仿宋" w:eastAsia="仿宋"/>
          <w:bCs/>
          <w:color w:val="auto"/>
          <w:sz w:val="28"/>
          <w:highlight w:val="none"/>
        </w:rPr>
        <w:t xml:space="preserve">2.技术规范</w:t>
      </w:r>
      <w:r/>
    </w:p>
    <w:p>
      <w:pPr>
        <w:ind w:firstLine="6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3.专利权</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3.1乙方须保障甲方在使用该货物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4.包装要求</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4.1本项目中涉及商品的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4.2除合同另有规定外，乙方提供的全部货物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均应按相应的标准保护措施进行包装，使包装适应于远距离运输、防潮、防震、防锈和防粗暴装卸，确保货物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安全无损运抵制现场。由于包装不善所引起的货物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锈蚀、损坏和损失均由乙方承担。</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4.3每件包装箱内应附一份详细装箱单和质量合格证。</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5.装运标志</w:t>
      </w:r>
      <w:r/>
    </w:p>
    <w:p>
      <w:pPr>
        <w:ind w:firstLine="6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 xml:space="preserve">乙方应在每一包装箱邻接的四侧用不褪色的油漆以醒目的中文字样做出下列标记:</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（1）收货人</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）合同号</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）装运标志</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）收货人代号</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）目的地</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）货物（含软件及相关服务）名称、品目号和箱号</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）毛重／净重</w:t>
      </w:r>
      <w:r>
        <w:rPr>
          <w:rFonts w:ascii="仿宋" w:hAnsi="仿宋" w:eastAsia="仿宋"/>
          <w:color w:val="auto"/>
          <w:sz w:val="28"/>
          <w:szCs w:val="28"/>
          <w:highlight w:val="none"/>
        </w:rPr>
        <w:t xml:space="preserve"> </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）尺寸（长</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宽</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高，以厘米计）</w:t>
      </w:r>
      <w:r>
        <w:rPr>
          <w:rFonts w:ascii="仿宋" w:hAnsi="仿宋" w:eastAsia="仿宋"/>
          <w:color w:val="auto"/>
          <w:sz w:val="28"/>
          <w:szCs w:val="28"/>
          <w:highlight w:val="none"/>
        </w:rPr>
        <w:t xml:space="preserve"> </w:t>
      </w:r>
      <w:r/>
    </w:p>
    <w:p>
      <w:pPr>
        <w:ind w:firstLine="6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重心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和</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吊装点</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，以便装卸和搬运。根据货物（含软件及相关服务）的特点和运输的不同要求，乙方应在包装箱上清楚地标有“小心轻放”、</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勿倒置</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防潮</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等字样和其他适当的标记。</w:t>
      </w:r>
      <w:r>
        <w:rPr>
          <w:rFonts w:ascii="仿宋" w:hAnsi="仿宋" w:eastAsia="仿宋"/>
          <w:color w:val="auto"/>
          <w:sz w:val="28"/>
          <w:szCs w:val="28"/>
          <w:highlight w:val="none"/>
        </w:rPr>
        <w:t xml:space="preserve"> </w:t>
      </w:r>
      <w:r/>
    </w:p>
    <w:p>
      <w:pPr>
        <w:ind w:firstLine="6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因缺少装运标志或者装运标志不明确导致货物在运输、装卸过程中产生的损失，乙方应承担相应的过错责任。</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6.付款方式</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6.1本合同以人民币付款。</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（1）发票；</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（2）制造厂家出具的质量检验证书等；</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（3）装箱单；</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（4）验收合格证；</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（5）使用方加盖公章证明货物交付使用合格的验收表。</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6.3甲方将按招标文件中规定的付款方式安排付款。</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7.伴随服务</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7.1乙方应按照国家有关规定和合同中所附的服务承诺提供服务。</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7.2除第7.1条规定外，乙方还应提供下列服务:</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（1）货物的现场安装和启动监督；</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（2）提供货物组装和维修所需的工具；</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（4）在项目交货现场就货物的安装、启动、运行、维护对甲方人员进行培训。</w:t>
      </w:r>
      <w:r/>
    </w:p>
    <w:p>
      <w:pPr>
        <w:ind w:firstLine="6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7.3伴随服务的费用应含在合同价中，不单独进行支付。</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8.质量保证</w:t>
      </w:r>
      <w:r/>
    </w:p>
    <w:p>
      <w:pPr>
        <w:ind w:firstLine="65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r/>
    </w:p>
    <w:p>
      <w:pPr>
        <w:ind w:firstLine="65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r/>
    </w:p>
    <w:p>
      <w:pPr>
        <w:ind w:firstLine="65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乙方在收到通知后三十天内应免费维修或更换有缺陷的货物（含软件及相关服务）或部件。</w:t>
      </w:r>
      <w:r>
        <w:rPr>
          <w:rFonts w:ascii="仿宋" w:hAnsi="仿宋" w:eastAsia="仿宋"/>
          <w:color w:val="auto"/>
          <w:sz w:val="28"/>
          <w:szCs w:val="28"/>
          <w:highlight w:val="none"/>
        </w:rPr>
        <w:t xml:space="preserve"> </w:t>
      </w:r>
      <w:r/>
    </w:p>
    <w:p>
      <w:pPr>
        <w:ind w:firstLine="65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color w:val="auto"/>
          <w:sz w:val="28"/>
          <w:szCs w:val="28"/>
          <w:highlight w:val="none"/>
        </w:rPr>
        <w:t xml:space="preserve">12</w:t>
      </w:r>
      <w:r>
        <w:rPr>
          <w:rFonts w:hint="eastAsia" w:ascii="仿宋" w:hAnsi="仿宋" w:eastAsia="仿宋"/>
          <w:color w:val="auto"/>
          <w:sz w:val="28"/>
          <w:szCs w:val="28"/>
          <w:highlight w:val="none"/>
        </w:rPr>
        <w:t xml:space="preserve">个月。</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9.检验及安装</w:t>
      </w:r>
      <w:r/>
    </w:p>
    <w:p>
      <w:pPr>
        <w:ind w:firstLine="6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r/>
    </w:p>
    <w:p>
      <w:pPr>
        <w:ind w:firstLine="660"/>
        <w:spacing w:line="520" w:lineRule="exact"/>
        <w:rPr>
          <w:rFonts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 xml:space="preserve">90</w:t>
      </w:r>
      <w:r>
        <w:rPr>
          <w:rFonts w:hint="eastAsia" w:ascii="仿宋" w:hAnsi="仿宋" w:eastAsia="仿宋"/>
          <w:color w:val="auto"/>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r/>
    </w:p>
    <w:p>
      <w:pPr>
        <w:ind w:firstLine="660"/>
        <w:spacing w:line="520" w:lineRule="exact"/>
        <w:rPr>
          <w:rFonts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如果货物（含软件及相关服务）的质量和规格与合同不符，或在第</w:t>
      </w:r>
      <w:r>
        <w:rPr>
          <w:rFonts w:ascii="仿宋" w:hAnsi="仿宋" w:eastAsia="仿宋"/>
          <w:color w:val="auto"/>
          <w:sz w:val="28"/>
          <w:szCs w:val="28"/>
          <w:highlight w:val="none"/>
        </w:rPr>
        <w:t xml:space="preserve">11</w:t>
      </w:r>
      <w:r>
        <w:rPr>
          <w:rFonts w:hint="eastAsia" w:ascii="仿宋" w:hAnsi="仿宋" w:eastAsia="仿宋"/>
          <w:color w:val="auto"/>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r/>
    </w:p>
    <w:p>
      <w:pPr>
        <w:ind w:firstLine="6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制造厂对所供货物（含软件及相关服务）进行机械运转试验和性能试验时，必须提前通知甲方。</w:t>
      </w:r>
      <w:r>
        <w:rPr>
          <w:rFonts w:ascii="仿宋" w:hAnsi="仿宋" w:eastAsia="仿宋"/>
          <w:color w:val="auto"/>
          <w:sz w:val="28"/>
          <w:szCs w:val="28"/>
          <w:highlight w:val="none"/>
        </w:rPr>
        <w:t xml:space="preserve"> </w:t>
      </w:r>
      <w:r/>
    </w:p>
    <w:p>
      <w:pPr>
        <w:ind w:firstLine="6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 xml:space="preserve">货物（含软件及相关服务）的安装按招标文件要求进行。</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10.索赔</w:t>
      </w:r>
      <w:r/>
    </w:p>
    <w:p>
      <w:pPr>
        <w:ind w:firstLine="658"/>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r/>
    </w:p>
    <w:p>
      <w:pPr>
        <w:ind w:firstLine="658"/>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如果在甲方发出索赔通知后</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0天内，乙方未能答复，上达索赔应视为已被乙方接受。若乙方未能在甲方提出索赔通知后</w:t>
      </w:r>
      <w:r>
        <w:rPr>
          <w:rFonts w:ascii="仿宋" w:hAnsi="仿宋" w:eastAsia="仿宋"/>
          <w:color w:val="auto"/>
          <w:sz w:val="28"/>
          <w:szCs w:val="28"/>
          <w:highlight w:val="none"/>
        </w:rPr>
        <w:t xml:space="preserve">30</w:t>
      </w:r>
      <w:r>
        <w:rPr>
          <w:rFonts w:hint="eastAsia" w:ascii="仿宋" w:hAnsi="仿宋" w:eastAsia="仿宋"/>
          <w:color w:val="auto"/>
          <w:sz w:val="28"/>
          <w:szCs w:val="28"/>
          <w:highlight w:val="none"/>
        </w:rPr>
        <w:t xml:space="preserve">天内或甲方同意的更长时间内，按照第</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11.拖延交货</w:t>
      </w:r>
      <w:r/>
    </w:p>
    <w:p>
      <w:pPr>
        <w:ind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乙方应按照合同专用条款中规定的交货期交货和提供服务。</w:t>
      </w:r>
      <w:r>
        <w:rPr>
          <w:rFonts w:ascii="仿宋" w:hAnsi="仿宋" w:eastAsia="仿宋"/>
          <w:color w:val="auto"/>
          <w:sz w:val="28"/>
          <w:szCs w:val="28"/>
          <w:highlight w:val="none"/>
        </w:rPr>
        <w:t xml:space="preserve"> </w:t>
      </w:r>
      <w:r/>
    </w:p>
    <w:p>
      <w:pPr>
        <w:ind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如果乙方毫无理由地拖延交货，将受到以下制裁:没收履约保证金，加收违约损失赔偿</w:t>
      </w:r>
      <w:r>
        <w:rPr>
          <w:rFonts w:hint="eastAsia" w:ascii="仿宋" w:hAnsi="仿宋" w:eastAsia="仿宋"/>
          <w:color w:val="auto"/>
          <w:sz w:val="28"/>
          <w:szCs w:val="28"/>
          <w:highlight w:val="none"/>
          <w:u w:val="single"/>
        </w:rPr>
        <w:t xml:space="preserve">和／或</w:t>
      </w:r>
      <w:r>
        <w:rPr>
          <w:rFonts w:hint="eastAsia" w:ascii="仿宋" w:hAnsi="仿宋" w:eastAsia="仿宋"/>
          <w:color w:val="auto"/>
          <w:sz w:val="28"/>
          <w:szCs w:val="28"/>
          <w:highlight w:val="none"/>
        </w:rPr>
        <w:t xml:space="preserve">终止合同。</w:t>
      </w:r>
      <w:r>
        <w:rPr>
          <w:rFonts w:ascii="仿宋" w:hAnsi="仿宋" w:eastAsia="仿宋"/>
          <w:color w:val="auto"/>
          <w:sz w:val="28"/>
          <w:szCs w:val="28"/>
          <w:highlight w:val="none"/>
        </w:rPr>
        <w:t xml:space="preserve"> </w:t>
      </w:r>
      <w:r/>
    </w:p>
    <w:p>
      <w:pPr>
        <w:ind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12.误期赔偿</w:t>
      </w:r>
      <w:r/>
    </w:p>
    <w:p>
      <w:pPr>
        <w:ind w:firstLine="567"/>
        <w:spacing w:line="52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13.不可抗力</w:t>
      </w:r>
      <w:r/>
    </w:p>
    <w:p>
      <w:pPr>
        <w:ind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r/>
    </w:p>
    <w:p>
      <w:pPr>
        <w:ind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受事故影响的一方应在不可抗力事故发生后尽快以电报、传真或电传通知另一方，并在事故发生后</w:t>
      </w:r>
      <w:r>
        <w:rPr>
          <w:rFonts w:ascii="仿宋" w:hAnsi="仿宋" w:eastAsia="仿宋"/>
          <w:color w:val="auto"/>
          <w:sz w:val="28"/>
          <w:szCs w:val="28"/>
          <w:highlight w:val="none"/>
        </w:rPr>
        <w:t xml:space="preserve">14</w:t>
      </w:r>
      <w:r>
        <w:rPr>
          <w:rFonts w:hint="eastAsia" w:ascii="仿宋" w:hAnsi="仿宋" w:eastAsia="仿宋"/>
          <w:color w:val="auto"/>
          <w:sz w:val="28"/>
          <w:szCs w:val="28"/>
          <w:highlight w:val="none"/>
        </w:rPr>
        <w:t xml:space="preserve">天内，将有关部门出具的证明文件用特快专递寄给或送给另一方。如果不可抗力影响时间延续</w:t>
      </w:r>
      <w:r>
        <w:rPr>
          <w:rFonts w:ascii="仿宋" w:hAnsi="仿宋" w:eastAsia="仿宋"/>
          <w:color w:val="auto"/>
          <w:sz w:val="28"/>
          <w:szCs w:val="28"/>
          <w:highlight w:val="none"/>
        </w:rPr>
        <w:t xml:space="preserve">120</w:t>
      </w:r>
      <w:r>
        <w:rPr>
          <w:rFonts w:hint="eastAsia" w:ascii="仿宋" w:hAnsi="仿宋" w:eastAsia="仿宋"/>
          <w:color w:val="auto"/>
          <w:sz w:val="28"/>
          <w:szCs w:val="28"/>
          <w:highlight w:val="none"/>
        </w:rPr>
        <w:t xml:space="preserve">天以上，双方应通过友好协商在合理的时间内达成进一步履行合同的协议。</w:t>
      </w:r>
      <w:r>
        <w:rPr>
          <w:rFonts w:ascii="仿宋" w:hAnsi="仿宋" w:eastAsia="仿宋"/>
          <w:color w:val="auto"/>
          <w:sz w:val="28"/>
          <w:szCs w:val="28"/>
          <w:highlight w:val="none"/>
        </w:rPr>
        <w:t xml:space="preserve"> </w:t>
      </w:r>
      <w:r/>
    </w:p>
    <w:p>
      <w:pPr>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14.税费</w:t>
      </w:r>
      <w:r/>
    </w:p>
    <w:p>
      <w:pPr>
        <w:ind w:firstLine="567"/>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14.1中国政府根据现行税法规定对甲方征收的与本合同有关的一切税费，均由甲方负担。</w:t>
      </w:r>
      <w:r/>
    </w:p>
    <w:p>
      <w:pPr>
        <w:ind w:firstLine="567"/>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14.2中国政府根据现行税法规定对乙方征收的与本合同有关的一切税费均由乙方负担。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15.仲裁</w:t>
      </w:r>
      <w:r/>
    </w:p>
    <w:p>
      <w:pPr>
        <w:ind w:firstLine="57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highlight w:val="none"/>
        </w:rPr>
        <w:t xml:space="preserve"> </w:t>
      </w:r>
      <w:r/>
    </w:p>
    <w:p>
      <w:pPr>
        <w:ind w:firstLine="57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仲裁裁决应为终局裁决，对双方均具有约束力。</w:t>
      </w:r>
      <w:r>
        <w:rPr>
          <w:rFonts w:ascii="仿宋" w:hAnsi="仿宋" w:eastAsia="仿宋"/>
          <w:color w:val="auto"/>
          <w:sz w:val="28"/>
          <w:szCs w:val="28"/>
          <w:highlight w:val="none"/>
        </w:rPr>
        <w:t xml:space="preserve"> </w:t>
      </w:r>
      <w:r/>
    </w:p>
    <w:p>
      <w:pPr>
        <w:ind w:firstLine="57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仲裁费除仲裁机构另有裁决外应由败诉方负担。</w:t>
      </w:r>
      <w:r/>
    </w:p>
    <w:p>
      <w:pPr>
        <w:ind w:firstLine="57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在仲裁期间，除正在进行仲裁的部分外，合同其它部分继续执行。</w:t>
      </w:r>
      <w:r>
        <w:rPr>
          <w:rFonts w:hint="eastAsia" w:ascii="仿宋" w:hAnsi="仿宋" w:eastAsia="仿宋"/>
          <w:b/>
          <w:color w:val="auto"/>
          <w:sz w:val="28"/>
          <w:szCs w:val="28"/>
          <w:highlight w:val="non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16.违约终止合同</w:t>
      </w:r>
      <w:r/>
    </w:p>
    <w:p>
      <w:pPr>
        <w:pStyle w:val="960"/>
        <w:ind w:firstLine="560"/>
        <w:spacing w:line="520" w:lineRule="exact"/>
        <w:rPr>
          <w:rFonts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w:t>
      </w:r>
      <w:r>
        <w:rPr>
          <w:rFonts w:hint="eastAsia" w:hAnsi="仿宋"/>
          <w:color w:val="auto"/>
          <w:sz w:val="28"/>
          <w:szCs w:val="28"/>
          <w:highlight w:val="none"/>
        </w:rPr>
        <w:t xml:space="preserve">1</w:t>
      </w:r>
      <w:r>
        <w:rPr>
          <w:rFonts w:hAnsi="仿宋"/>
          <w:color w:val="auto"/>
          <w:sz w:val="28"/>
          <w:szCs w:val="28"/>
          <w:highlight w:val="none"/>
        </w:rPr>
        <w:t xml:space="preserve"> </w:t>
      </w:r>
      <w:r>
        <w:rPr>
          <w:rFonts w:hint="eastAsia" w:hAnsi="仿宋"/>
          <w:color w:val="auto"/>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r/>
    </w:p>
    <w:p>
      <w:pPr>
        <w:pStyle w:val="960"/>
        <w:ind w:firstLine="560"/>
        <w:spacing w:line="520" w:lineRule="exact"/>
        <w:rPr>
          <w:rFonts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w:t>
      </w:r>
      <w:r>
        <w:rPr>
          <w:rFonts w:hAnsi="仿宋"/>
          <w:color w:val="auto"/>
          <w:sz w:val="28"/>
          <w:szCs w:val="28"/>
          <w:highlight w:val="none"/>
        </w:rPr>
        <w:t xml:space="preserve"> </w:t>
      </w:r>
      <w:r/>
    </w:p>
    <w:p>
      <w:pPr>
        <w:pStyle w:val="960"/>
        <w:ind w:firstLine="560"/>
        <w:spacing w:line="520" w:lineRule="exact"/>
        <w:rPr>
          <w:rFonts w:hAnsi="仿宋"/>
          <w:color w:val="auto"/>
          <w:sz w:val="28"/>
          <w:szCs w:val="28"/>
          <w:highlight w:val="none"/>
        </w:rPr>
      </w:pPr>
      <w:r>
        <w:rPr>
          <w:rFonts w:hint="eastAsia" w:hAnsi="仿宋"/>
          <w:color w:val="auto"/>
          <w:sz w:val="28"/>
          <w:szCs w:val="28"/>
          <w:highlight w:val="none"/>
        </w:rPr>
        <w:t xml:space="preserve">（</w:t>
      </w:r>
      <w:r>
        <w:rPr>
          <w:rFonts w:hAnsi="仿宋"/>
          <w:color w:val="auto"/>
          <w:sz w:val="28"/>
          <w:szCs w:val="28"/>
          <w:highlight w:val="none"/>
        </w:rPr>
        <w:t xml:space="preserve">2</w:t>
      </w:r>
      <w:r>
        <w:rPr>
          <w:rFonts w:hint="eastAsia" w:hAnsi="仿宋"/>
          <w:color w:val="auto"/>
          <w:sz w:val="28"/>
          <w:szCs w:val="28"/>
          <w:highlight w:val="none"/>
        </w:rPr>
        <w:t xml:space="preserve">）如果乙方未能履行合同规定的其它义务。</w:t>
      </w:r>
      <w:r>
        <w:rPr>
          <w:rFonts w:hAnsi="仿宋"/>
          <w:color w:val="auto"/>
          <w:sz w:val="28"/>
          <w:szCs w:val="28"/>
          <w:highlight w:val="none"/>
        </w:rPr>
        <w:t xml:space="preserve"> </w:t>
      </w:r>
      <w:r/>
    </w:p>
    <w:p>
      <w:pPr>
        <w:pStyle w:val="960"/>
        <w:ind w:firstLine="560"/>
        <w:spacing w:line="520" w:lineRule="exact"/>
        <w:rPr>
          <w:rFonts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.2 </w:t>
      </w:r>
      <w:r>
        <w:rPr>
          <w:rFonts w:hint="eastAsia" w:hAnsi="仿宋"/>
          <w:color w:val="auto"/>
          <w:sz w:val="28"/>
          <w:szCs w:val="28"/>
          <w:highlight w:val="none"/>
        </w:rPr>
        <w:t xml:space="preserve">在甲方根据第17</w:t>
      </w:r>
      <w:r>
        <w:rPr>
          <w:rFonts w:hAnsi="仿宋"/>
          <w:color w:val="auto"/>
          <w:sz w:val="28"/>
          <w:szCs w:val="28"/>
          <w:highlight w:val="none"/>
        </w:rPr>
        <w:t xml:space="preserve">.</w:t>
      </w:r>
      <w:r>
        <w:rPr>
          <w:rFonts w:hint="eastAsia" w:hAnsi="仿宋"/>
          <w:color w:val="auto"/>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16"/>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17.破产中止合同</w:t>
      </w:r>
      <w:r/>
    </w:p>
    <w:p>
      <w:pPr>
        <w:pStyle w:val="916"/>
        <w:spacing w:line="520" w:lineRule="exact"/>
        <w:rPr>
          <w:rFonts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16"/>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18.转让</w:t>
      </w:r>
      <w:r/>
    </w:p>
    <w:p>
      <w:pPr>
        <w:pStyle w:val="916"/>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18.1 除甲方事先书面同意外，乙方不得部分转让或全部转让其应履行的合同义务。</w:t>
      </w:r>
      <w:r/>
    </w:p>
    <w:p>
      <w:pPr>
        <w:pStyle w:val="916"/>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19.合同生效及其它</w:t>
      </w:r>
      <w:r/>
    </w:p>
    <w:p>
      <w:pPr>
        <w:spacing w:line="520" w:lineRule="exact"/>
        <w:rPr>
          <w:rFonts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19.1</w:t>
      </w:r>
      <w:r>
        <w:rPr>
          <w:rFonts w:hint="eastAsia" w:ascii="仿宋" w:hAnsi="仿宋" w:eastAsia="仿宋"/>
          <w:color w:val="auto"/>
          <w:sz w:val="28"/>
          <w:szCs w:val="28"/>
          <w:highlight w:val="none"/>
          <w:lang w:eastAsia="zh-CN"/>
        </w:rPr>
        <w:t xml:space="preserve">淮安江益工程项目管理咨询有限公司</w:t>
      </w:r>
      <w:r>
        <w:rPr>
          <w:rFonts w:hint="eastAsia" w:ascii="仿宋" w:hAnsi="仿宋" w:eastAsia="仿宋"/>
          <w:color w:val="auto"/>
          <w:sz w:val="28"/>
          <w:szCs w:val="28"/>
          <w:highlight w:val="none"/>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916"/>
        <w:ind w:firstLine="560"/>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19.2</w:t>
      </w:r>
      <w:r>
        <w:rPr>
          <w:rFonts w:hint="eastAsia" w:ascii="仿宋" w:hAnsi="仿宋" w:eastAsia="仿宋"/>
          <w:color w:val="auto"/>
          <w:sz w:val="28"/>
          <w:szCs w:val="28"/>
          <w:highlight w:val="none"/>
        </w:rPr>
        <w:t xml:space="preserve">本合同经甲、乙双方加盖电子签章后生效。</w:t>
      </w:r>
      <w:r>
        <w:rPr>
          <w:rFonts w:hint="eastAsia" w:ascii="仿宋" w:hAnsi="仿宋" w:eastAsia="仿宋"/>
          <w:color w:val="auto"/>
          <w:sz w:val="28"/>
          <w:szCs w:val="24"/>
          <w:highlight w:val="none"/>
        </w:rPr>
        <w:t xml:space="preserve">    </w:t>
      </w:r>
      <w:r/>
    </w:p>
    <w:p>
      <w:pPr>
        <w:pStyle w:val="916"/>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19.3合同货物交付使用后所发生的合同纠纷，甲方与乙方进行处理。</w:t>
      </w:r>
      <w:r/>
    </w:p>
    <w:p>
      <w:pPr>
        <w:pStyle w:val="916"/>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highlight w:val="none"/>
        </w:rPr>
        <w:t xml:space="preserve">19.5本合同应按照中华人民共和国的现行法律进行解释。</w:t>
      </w:r>
      <w:r/>
    </w:p>
    <w:p>
      <w:pPr>
        <w:pStyle w:val="916"/>
        <w:jc w:val="center"/>
        <w:spacing w:line="520" w:lineRule="exact"/>
        <w:rPr>
          <w:rFonts w:ascii="仿宋" w:hAnsi="仿宋" w:eastAsia="仿宋"/>
          <w:b/>
          <w:bCs/>
          <w:color w:val="auto"/>
          <w:sz w:val="36"/>
          <w:szCs w:val="36"/>
          <w:highlight w:val="none"/>
          <w:lang w:val="zh-CN"/>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ind w:firstLine="56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、目标任务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2021年8月国家医疗保障信息平台在淮安成功上线，2022年8月</w:t>
      </w:r>
      <w:r>
        <w:rPr>
          <w:rFonts w:hint="eastAsia" w:ascii="仿宋" w:hAnsi="仿宋" w:eastAsia="仿宋" w:cs="仿宋"/>
          <w:color w:val="auto"/>
          <w:spacing w:val="0"/>
          <w:sz w:val="28"/>
          <w:szCs w:val="28"/>
          <w:highlight w:val="none"/>
        </w:rPr>
        <w:t xml:space="preserve">家医疗保障信息平台参保管理功能在淮安上线，淮安市医疗保障局在（以下简称“市医保局”）全市范围内真正实现了业务办理标准化、监督管理智能化、公共服务便捷化、决策分析精准化，大大提升了医疗保障服务能力和服务水平，与此同时市医保局也完成了个体灵活就业人员征收与税务系统的衔接、居民医保费征收等多个医保信息化系统的改革和升级，满足了市民群众更全面更便捷的医保服务需要，推动了全市医疗保障事业高质量发展，同时医保业务信息化要求也越来越高，系统维护的需求也越来越多，需要组建和加强信息系统维护团队，保障医保信息系统的平稳运行。</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该项目为淮安市各级医保经办机构、所有医保定点医疗机构、定点药店提供医保信息系统技术支撑和运行维护服务。国家统一的医保信息平台，</w:t>
      </w:r>
      <w:r>
        <w:rPr>
          <w:rFonts w:hint="eastAsia" w:ascii="仿宋" w:hAnsi="仿宋" w:eastAsia="仿宋" w:cs="仿宋"/>
          <w:bCs/>
          <w:color w:val="auto"/>
          <w:spacing w:val="0"/>
          <w:sz w:val="28"/>
          <w:szCs w:val="28"/>
          <w:highlight w:val="none"/>
        </w:rPr>
        <w:t xml:space="preserve">采取省市共建模式，</w:t>
      </w:r>
      <w:r>
        <w:rPr>
          <w:rFonts w:hint="eastAsia" w:ascii="仿宋" w:hAnsi="仿宋" w:eastAsia="仿宋" w:cs="仿宋"/>
          <w:color w:val="auto"/>
          <w:spacing w:val="0"/>
          <w:sz w:val="28"/>
          <w:szCs w:val="28"/>
          <w:highlight w:val="none"/>
        </w:rPr>
        <w:t xml:space="preserve">承载了全市480万参保人员、3393家两定医药服务机构、78771家参保单位的医保服务需求，项目的实施可以有效保障全市各级医保经办机构、15分钟医保服务圈及所有定点医疗机构、定点药店、参保单位、参保人员享受“标准统一、规范有序、高效便捷”医保服务。</w:t>
      </w:r>
      <w:r/>
    </w:p>
    <w:p>
      <w:pPr>
        <w:ind w:firstLine="544"/>
        <w:spacing w:line="56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二 、现有系统(平台)技术情况</w:t>
      </w:r>
      <w:r/>
    </w:p>
    <w:p>
      <w:pPr>
        <w:ind w:firstLine="56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1.建设情况：</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2021年8月国家医疗保障信息平台在淮安成功上线，2022年8月家医疗保障信息平台参保管理功能在淮安上线，淮安市医保局在全市范围内真正实现了业务办理标准化、监督管理智能化、公共服务便捷化、决策分析精准化，大大提升了医疗保障服务能力和服务水平。</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按照国家医疗保障局医疗保障信息平台规划建设要求，“国家医疗保障信息平台（江苏）”采用统一分布式云架构，在基础设施层上，结合云平台，提供分布式服务支撑，通过业务中台构建业务中心，开展交易型应用；通过数据中台实现数据汇聚、数据治理等，开展大数据应用，基于统一的技术框架建设经办管理类、公共服务类、智能监管类、宏观决策类应用。具体架构图如下所示：</w:t>
      </w:r>
      <w:r/>
    </w:p>
    <w:p>
      <w:pPr>
        <w:pStyle w:val="705"/>
        <w:ind w:right="47" w:firstLine="649"/>
        <w:spacing w:before="187" w:line="560" w:lineRule="exact"/>
        <w:rPr>
          <w:rFonts w:cs="仿宋"/>
          <w:color w:val="auto"/>
          <w:spacing w:val="32"/>
          <w:sz w:val="28"/>
          <w:szCs w:val="28"/>
          <w:highlight w:val="none"/>
        </w:rPr>
      </w:pPr>
      <w:r>
        <w:rPr>
          <w:rFonts w:hint="eastAsia"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933450</wp:posOffset>
                </wp:positionH>
                <wp:positionV relativeFrom="paragraph">
                  <wp:posOffset>1270</wp:posOffset>
                </wp:positionV>
                <wp:extent cx="3587750" cy="2819400"/>
                <wp:effectExtent l="0" t="0" r="1270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3587750" cy="281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73.5pt;mso-position-horizontal:absolute;mso-position-vertical-relative:text;margin-top:0.1pt;mso-position-vertical:absolute;width:282.5pt;height:222.0pt;mso-wrap-distance-left:9.0pt;mso-wrap-distance-top:0.0pt;mso-wrap-distance-right:9.0pt;mso-wrap-distance-bottom:0.0pt;" stroked="f">
                <v:path textboxrect="0,0,0,0"/>
                <v:imagedata r:id="rId13" o:title=""/>
              </v:shape>
            </w:pict>
          </mc:Fallback>
        </mc:AlternateContent>
      </w:r>
      <w:r/>
    </w:p>
    <w:p>
      <w:pPr>
        <w:pStyle w:val="705"/>
        <w:ind w:right="47" w:firstLine="649"/>
        <w:spacing w:before="187" w:line="560" w:lineRule="exact"/>
        <w:rPr>
          <w:rFonts w:cs="仿宋"/>
          <w:color w:val="auto"/>
          <w:spacing w:val="32"/>
          <w:sz w:val="28"/>
          <w:szCs w:val="28"/>
          <w:highlight w:val="none"/>
        </w:rPr>
      </w:pPr>
      <w:r>
        <w:rPr>
          <w:rFonts w:cs="仿宋"/>
          <w:color w:val="auto"/>
          <w:spacing w:val="32"/>
          <w:sz w:val="28"/>
          <w:szCs w:val="28"/>
          <w:highlight w:val="none"/>
        </w:rPr>
      </w:r>
      <w:r/>
    </w:p>
    <w:p>
      <w:pPr>
        <w:pStyle w:val="705"/>
        <w:ind w:right="47" w:firstLine="649"/>
        <w:spacing w:before="187" w:line="560" w:lineRule="exact"/>
        <w:rPr>
          <w:rFonts w:cs="仿宋"/>
          <w:color w:val="auto"/>
          <w:spacing w:val="32"/>
          <w:sz w:val="28"/>
          <w:szCs w:val="28"/>
          <w:highlight w:val="none"/>
        </w:rPr>
      </w:pPr>
      <w:r>
        <w:rPr>
          <w:rFonts w:cs="仿宋"/>
          <w:color w:val="auto"/>
          <w:spacing w:val="32"/>
          <w:sz w:val="28"/>
          <w:szCs w:val="28"/>
          <w:highlight w:val="none"/>
        </w:rPr>
      </w:r>
      <w:r/>
    </w:p>
    <w:p>
      <w:pPr>
        <w:pStyle w:val="705"/>
        <w:ind w:right="47" w:firstLine="649"/>
        <w:spacing w:before="187" w:line="560" w:lineRule="exact"/>
        <w:rPr>
          <w:rFonts w:cs="仿宋"/>
          <w:color w:val="auto"/>
          <w:spacing w:val="32"/>
          <w:sz w:val="28"/>
          <w:szCs w:val="28"/>
          <w:highlight w:val="none"/>
        </w:rPr>
      </w:pPr>
      <w:r>
        <w:rPr>
          <w:rFonts w:cs="仿宋"/>
          <w:color w:val="auto"/>
          <w:spacing w:val="32"/>
          <w:sz w:val="28"/>
          <w:szCs w:val="28"/>
          <w:highlight w:val="none"/>
        </w:rPr>
      </w:r>
      <w:r/>
    </w:p>
    <w:p>
      <w:pPr>
        <w:pStyle w:val="705"/>
        <w:ind w:right="47" w:firstLine="649"/>
        <w:spacing w:before="187" w:line="560" w:lineRule="exact"/>
        <w:rPr>
          <w:rFonts w:cs="仿宋"/>
          <w:color w:val="auto"/>
          <w:spacing w:val="32"/>
          <w:sz w:val="28"/>
          <w:szCs w:val="28"/>
          <w:highlight w:val="none"/>
        </w:rPr>
      </w:pPr>
      <w:r>
        <w:rPr>
          <w:rFonts w:cs="仿宋"/>
          <w:color w:val="auto"/>
          <w:spacing w:val="32"/>
          <w:sz w:val="28"/>
          <w:szCs w:val="28"/>
          <w:highlight w:val="none"/>
        </w:rPr>
      </w:r>
      <w:r/>
    </w:p>
    <w:p>
      <w:pPr>
        <w:pStyle w:val="705"/>
        <w:ind w:right="47" w:firstLine="649"/>
        <w:spacing w:before="187" w:line="560" w:lineRule="exact"/>
        <w:rPr>
          <w:rFonts w:cs="仿宋"/>
          <w:color w:val="auto"/>
          <w:spacing w:val="32"/>
          <w:sz w:val="28"/>
          <w:szCs w:val="28"/>
          <w:highlight w:val="none"/>
        </w:rPr>
      </w:pPr>
      <w:r>
        <w:rPr>
          <w:rFonts w:cs="仿宋"/>
          <w:color w:val="auto"/>
          <w:spacing w:val="32"/>
          <w:sz w:val="28"/>
          <w:szCs w:val="28"/>
          <w:highlight w:val="none"/>
        </w:rPr>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应用子系统：所有业务应用子系统都必须基于医疗保障应用框架（Healthcare Security APPlication Framework，简称：HSAF）开发；</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HSAF框架：采用分布式云架构，封装核心云支撑服务适配接口，用于实现云产品解耦设计；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适配层：基于HSAF的适配技术，将应用层依赖的分布式技术与具体厂商的分布式技术进行适配，实现应用层可以适配多家厂商的分布式技术；</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云支撑服务层：基于云基础设施，为应用层提供通用技术支撑服务，包括分布式服务、分布式缓存、分布式数据访问、分布式日志服务、非结构化存储和消息队列等；</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云基础设施层：采用云架构，在物理设备基础上，实现计算资源、存储资源、网络资源的动态管理和资源调配。</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所有业务应用都必须经过从前端展现层到服务端的控制层、共享业务中心层、数据服务层的连续调用，总体技术架构通过技术适配层完成业务服务与技术实现（如：分布式服务、云基础设施等）相互适配。</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医保信息平台用户管理为统一门户子系统，涉及医保业务基础、医保智能审核、医保付费方式、药价招采等多个子系统。</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对淮安而言，除上述子系统用户外，为了参保人业务便捷还增加了15分钟医保服务圈用户、部分两定机构用户，目前总计用户数量约6000个。</w:t>
      </w:r>
      <w:r/>
    </w:p>
    <w:p>
      <w:pPr>
        <w:ind w:firstLine="56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2.运维需求和管理情况：</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2.1运维服务内容及要求</w:t>
      </w:r>
      <w:r/>
    </w:p>
    <w:p>
      <w:pPr>
        <w:pStyle w:val="989"/>
        <w:ind w:firstLine="560"/>
        <w:spacing w:line="560" w:lineRule="exact"/>
        <w:rPr>
          <w:rFonts w:ascii="仿宋" w:hAnsi="仿宋" w:eastAsia="仿宋" w:cs="仿宋"/>
          <w:color w:val="auto"/>
          <w:spacing w:val="0"/>
          <w:sz w:val="28"/>
          <w:szCs w:val="28"/>
          <w:highlight w:val="none"/>
        </w:rPr>
      </w:pPr>
      <w:r/>
      <w:bookmarkStart w:id="36" w:name="_Toc103590261"/>
      <w:r>
        <w:rPr>
          <w:rFonts w:hint="eastAsia" w:ascii="仿宋" w:hAnsi="仿宋" w:eastAsia="仿宋" w:cs="仿宋"/>
          <w:color w:val="auto"/>
          <w:spacing w:val="0"/>
          <w:sz w:val="28"/>
          <w:szCs w:val="28"/>
          <w:highlight w:val="none"/>
        </w:rPr>
        <w:t xml:space="preserve">2.1.1运维服务原则</w:t>
      </w:r>
      <w:bookmarkEnd w:id="36"/>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应用拓展类需求应该经省局审核同意后按照省医保局《关于规范省医保信息平台业务需求管理工作的通知》的要求开展。其他不涉及系统改造类的需求，按照淮安市医保局医疗保障信息平台运维管理相关制度与流程开展。</w:t>
      </w:r>
      <w:r/>
    </w:p>
    <w:p>
      <w:pPr>
        <w:pStyle w:val="989"/>
        <w:ind w:firstLine="560"/>
        <w:spacing w:line="560" w:lineRule="exact"/>
        <w:rPr>
          <w:rFonts w:ascii="仿宋" w:hAnsi="仿宋" w:eastAsia="仿宋" w:cs="仿宋"/>
          <w:color w:val="auto"/>
          <w:spacing w:val="0"/>
          <w:sz w:val="28"/>
          <w:szCs w:val="28"/>
          <w:highlight w:val="none"/>
        </w:rPr>
      </w:pPr>
      <w:r/>
      <w:bookmarkStart w:id="37" w:name="_Toc103590264"/>
      <w:r>
        <w:rPr>
          <w:rFonts w:hint="eastAsia" w:ascii="仿宋" w:hAnsi="仿宋" w:eastAsia="仿宋" w:cs="仿宋"/>
          <w:color w:val="auto"/>
          <w:spacing w:val="0"/>
          <w:sz w:val="28"/>
          <w:szCs w:val="28"/>
          <w:highlight w:val="none"/>
        </w:rPr>
        <w:t xml:space="preserve">2.1.2</w:t>
      </w:r>
      <w:bookmarkEnd w:id="37"/>
      <w:r>
        <w:rPr>
          <w:rFonts w:hint="eastAsia" w:ascii="仿宋" w:hAnsi="仿宋" w:eastAsia="仿宋" w:cs="仿宋"/>
          <w:color w:val="auto"/>
          <w:spacing w:val="0"/>
          <w:sz w:val="28"/>
          <w:szCs w:val="28"/>
          <w:highlight w:val="none"/>
        </w:rPr>
        <w:t xml:space="preserve">运维服务要求</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本项目要求对市医保局现有的省医保信息平台（医疗保障信息平台）及相关子系统本地运维职责内容进行运维服务，其中省医保信息平台（医疗保障信息平台）的相关业务子系统包含：医保核心业务系统、基础信息子系统、医保业务基础子系统、支付方式管理子系统、异地就医子系统、内部统一门户子系统、内部控制子系统等。</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现场派驻具有独立工作能力和经验的稳定的驻场服务保障团队，不少于4人，其中项目经理1人，需熟悉医保业务并具有至少5年以上丰富现场工作经验，其它3名运维人员需有2年以上运维工作经验。</w:t>
      </w:r>
      <w:r/>
    </w:p>
    <w:p>
      <w:pPr>
        <w:pStyle w:val="989"/>
        <w:ind w:firstLine="560"/>
        <w:spacing w:line="560" w:lineRule="exact"/>
        <w:rPr>
          <w:rFonts w:ascii="仿宋" w:hAnsi="仿宋" w:eastAsia="仿宋" w:cs="仿宋"/>
          <w:bCs/>
          <w:color w:val="auto"/>
          <w:sz w:val="28"/>
          <w:szCs w:val="28"/>
          <w:highlight w:val="none"/>
        </w:rPr>
      </w:pPr>
      <w:r>
        <w:rPr>
          <w:rFonts w:hint="eastAsia" w:ascii="仿宋" w:hAnsi="仿宋" w:eastAsia="仿宋" w:cs="仿宋"/>
          <w:color w:val="auto"/>
          <w:spacing w:val="0"/>
          <w:sz w:val="28"/>
          <w:szCs w:val="28"/>
          <w:highlight w:val="none"/>
        </w:rPr>
        <w:t xml:space="preserve">另外需配备不少于3人的远程支持保障团队，</w:t>
      </w:r>
      <w:r>
        <w:rPr>
          <w:rFonts w:hint="eastAsia" w:ascii="仿宋" w:hAnsi="仿宋" w:eastAsia="仿宋" w:cs="仿宋"/>
          <w:bCs/>
          <w:color w:val="auto"/>
          <w:sz w:val="28"/>
          <w:szCs w:val="28"/>
          <w:highlight w:val="none"/>
        </w:rPr>
        <w:t xml:space="preserve">配合驻场运维服务团队提供远程技术支持服务，远程技术支持服务内容包括软件程序设计与代码实现、相关技术方案与文档编写，对驻场运维服务人员提供技术指导与问题协助排查等，确保系统功能完善、性能卓越。</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bCs/>
          <w:color w:val="auto"/>
          <w:spacing w:val="0"/>
          <w:sz w:val="28"/>
          <w:szCs w:val="28"/>
          <w:highlight w:val="none"/>
        </w:rPr>
        <w:t xml:space="preserve">远程技术支持服务人员应具备丰富的软件开发和数据库管理能力，能够根据驻场运维服务人员提出的需求进行定制开发和优化，能够根据采购人需求提供不定期现场支持。</w:t>
      </w:r>
      <w:r/>
    </w:p>
    <w:p>
      <w:pPr>
        <w:pStyle w:val="989"/>
        <w:ind w:firstLine="560"/>
        <w:spacing w:line="560" w:lineRule="exact"/>
        <w:rPr>
          <w:rFonts w:ascii="仿宋" w:hAnsi="仿宋" w:eastAsia="仿宋" w:cs="仿宋"/>
          <w:color w:val="auto"/>
          <w:spacing w:val="0"/>
          <w:sz w:val="28"/>
          <w:szCs w:val="28"/>
          <w:highlight w:val="none"/>
        </w:rPr>
      </w:pPr>
      <w:r/>
      <w:bookmarkStart w:id="38" w:name="_Toc103590267"/>
      <w:r>
        <w:rPr>
          <w:rFonts w:hint="eastAsia" w:ascii="仿宋" w:hAnsi="仿宋" w:eastAsia="仿宋" w:cs="仿宋"/>
          <w:color w:val="auto"/>
          <w:spacing w:val="0"/>
          <w:sz w:val="28"/>
          <w:szCs w:val="28"/>
          <w:highlight w:val="none"/>
        </w:rPr>
        <w:t xml:space="preserve">2.1.3运维服务</w:t>
      </w:r>
      <w:bookmarkEnd w:id="38"/>
      <w:r>
        <w:rPr>
          <w:rFonts w:hint="eastAsia" w:ascii="仿宋" w:hAnsi="仿宋" w:eastAsia="仿宋" w:cs="仿宋"/>
          <w:color w:val="auto"/>
          <w:spacing w:val="0"/>
          <w:sz w:val="28"/>
          <w:szCs w:val="28"/>
          <w:highlight w:val="none"/>
        </w:rPr>
        <w:t xml:space="preserve">内容</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运维服务内容包括数据提取、数据维护、系统BUG完善、业务功能完善、业务功能变更、业务功能新增、政策调整等，不包含重大机构组织调整、人群范畴调整、非业务性的系统新增、系统功能新增等需求。</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为保证信息系统的各类业务应用系统的可靠、高效、持续、安全运行，需要实时对系统进行维护。所有运维工作都需在淮安市医保局指定部门确认的情况下进行，运维内容包括但不限于以下部分：</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2.1.3.1运行服务类。提供本市医保应用系统的运行服务，确保本市应用系统现有功能、接口和服务能满足实际工作需要，及时改正系统使用过程中的缺陷。</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w:t>
      </w:r>
      <w:r>
        <w:rPr>
          <w:rFonts w:hint="eastAsia" w:ascii="仿宋" w:hAnsi="仿宋" w:eastAsia="仿宋" w:cs="仿宋"/>
          <w:color w:val="auto"/>
          <w:spacing w:val="0"/>
          <w:sz w:val="28"/>
          <w:szCs w:val="28"/>
          <w:highlight w:val="none"/>
        </w:rPr>
        <w:t xml:space="preserve">.3.2应用拓展类。根据实际需求，按照相关技术要求和标准规范，在规定时间节点内对本市医保应用系统进行应用拓展，并纳入统一运维管理。在与第三方单位对接时，按照市医保局要求，乙方协助提供标准文档，积极配合处理淮安医疗保障信息平台的公共服务接口等工作，并纳入统一运维管理。（注：对于运维范围内的个性化需求，如运维周期内累计工作量在5人月内，进行免费对接，内容包括但不限于：做好跨部门间系统接口的对接、测试、联调工作；按市医保局要求提供医保数据共享至跨部门单位；监控外部接口状态，运维处理报错问题；超出部分，另行商谈。）</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2.1.3.3应用保障类。包括但不限于如下内容：</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（1）应用系统保障服务运维</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保障医保信息平台子系统平稳运行，包括基础信息子系统、医保业务基础子系统、支付方式管理子系统、内部统一门户子系统、内部控制子系统、公共服务系统、两定机构门户子系统等。包括但不限于：</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处理运维医保信息平台子系统的问题工单需求，解决BUG，排查故障；解决医保信息平台子系统突发网络、服务、系统中断事件；跟踪日常巡检系统运行状态，分析系统异常，出具信息报告；协助医保部门完善国家平台、省平台、两定管理平台等权限管理流程，配合完成相应内控管理要求。</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（2）定点医药机构服务运维</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协助处理日常医保结算报错等异常问题修复、省统一医保基线版本接口的发布；受理两定医药机构、医保经办部门的医保系统技术咨询。</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（3）医保公共服务及信息化任务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提升医保公共服务质量、规范服务标准、整合服务渠道</w:t>
      </w:r>
      <w:r>
        <w:rPr>
          <w:rFonts w:hint="eastAsia" w:ascii="仿宋" w:hAnsi="仿宋" w:eastAsia="仿宋" w:cs="仿宋"/>
          <w:color w:val="auto"/>
          <w:spacing w:val="0"/>
          <w:sz w:val="28"/>
          <w:szCs w:val="28"/>
          <w:highlight w:val="none"/>
        </w:rPr>
        <w:t xml:space="preserve">，优化江苏医保云APP地方服务专区、淮安市医保局微信公众号、i淮安等地方公共服务渠道服务供给。配合解决医保码在实际应用中的各类问题，拓展应用场景，在所有需要身份核验、医保结算的场景，均支持使用医保码办理相关业务，实现医保码在就医购药全流程的应用。配合推进医保移动支付的应用，协助做好与定点医药机构、有关银行、第三方支付渠道等的联调测试，扩大医保移动支付应用范围，打造线上线下充分融合的医保便民支付体系。配合推进处方流转应用，优化购药服务体验，进一步提升服务对象满意度、获得感。配合做好其它公共服务事项的推进落实。</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协助市、县各级医保部门推进医保信息化各项任务。加快药品追溯码在两定机构的采集应用，根据省局统一要求，推进全市两定机构追溯码上传率，根据省统一版本，及时更新追溯码强校验版本，并指导全市各机构进行追溯码有效上传，定期统计分析追溯码上传率。提升医保数据质量，配合数据治理工作。按市医保局要求提供数据明细，并进行分析研判，从版本更新、经办业务培训、指导两定医药机构等方面加强医保数据管理，切实提升医保数据标准化水平。</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（4）系统优化运维服务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根据需求的变化，对有关软件不涉及到软件架构的问题及时调整、更新、升级。按照省局版本更新的要求，对省局下发的统一应用版本与淮安市医保功能版本进行测试验证、版本更新、版本发布更新等。</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协助开展网络故障排查、性能评估与调优等相关基础设施环境的维保工作，提出在正常条件下改进系统性能的各项建议，包括系统资源分配与效率改进建议、软件配置规划和性能优化建议、系统容量预测建议等。</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提供相关技术及业务咨询,根据工作需要，统筹安排和组织开展技术培训和应用培训。</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（5）应急保障：定期查看业务系统操作记录和使用日志，发现问题时及时汇报。建立完善的应急机制和应急预案以满足业务持续性要求，确保系统稳定运行、系统故障及时排解；应急保障内容包</w:t>
      </w:r>
      <w:r>
        <w:rPr>
          <w:rFonts w:hint="eastAsia" w:ascii="仿宋" w:hAnsi="仿宋" w:eastAsia="仿宋" w:cs="仿宋"/>
          <w:bCs/>
          <w:color w:val="auto"/>
          <w:sz w:val="28"/>
          <w:szCs w:val="28"/>
          <w:highlight w:val="none"/>
        </w:rPr>
        <w:t xml:space="preserve">括但不限于编写应急预案，实施应急演练、处理应急突发系统故障、云平台故障应急处理、</w:t>
      </w:r>
      <w:r>
        <w:rPr>
          <w:rFonts w:hint="eastAsia" w:ascii="仿宋" w:hAnsi="仿宋" w:eastAsia="仿宋" w:cs="仿宋"/>
          <w:bCs/>
          <w:color w:val="auto"/>
          <w:spacing w:val="0"/>
          <w:sz w:val="28"/>
          <w:szCs w:val="28"/>
          <w:highlight w:val="none"/>
        </w:rPr>
        <w:t xml:space="preserve">数据库故障应急处理等。</w:t>
      </w:r>
      <w:r/>
    </w:p>
    <w:p>
      <w:pPr>
        <w:pStyle w:val="989"/>
        <w:ind w:firstLine="560"/>
        <w:spacing w:line="560" w:lineRule="exact"/>
        <w:rPr>
          <w:rFonts w:ascii="仿宋" w:hAnsi="仿宋" w:eastAsia="仿宋" w:cs="仿宋"/>
          <w:bCs/>
          <w:color w:val="auto"/>
          <w:sz w:val="28"/>
          <w:szCs w:val="28"/>
          <w:highlight w:val="none"/>
        </w:rPr>
      </w:pPr>
      <w:r>
        <w:rPr>
          <w:rFonts w:hint="eastAsia" w:ascii="仿宋" w:hAnsi="仿宋" w:eastAsia="仿宋" w:cs="仿宋"/>
          <w:color w:val="auto"/>
          <w:spacing w:val="0"/>
          <w:sz w:val="28"/>
          <w:szCs w:val="28"/>
          <w:highlight w:val="none"/>
        </w:rPr>
        <w:t xml:space="preserve">（6）重保服务：遇重要业务上线、重要节庆日、重大活动开展等重要时间节点，根据现场重大保障服务要求，提前制定保障方案和风险应急预案，提供24小时无间断服务，确保系统稳定运行、系统故障及时排解。</w:t>
      </w:r>
      <w:r/>
    </w:p>
    <w:p>
      <w:pPr>
        <w:pStyle w:val="989"/>
        <w:ind w:firstLine="560"/>
        <w:spacing w:line="560" w:lineRule="exact"/>
        <w:rPr>
          <w:rFonts w:ascii="仿宋" w:hAnsi="仿宋" w:eastAsia="仿宋" w:cs="仿宋"/>
          <w:color w:val="auto"/>
          <w:spacing w:val="0"/>
          <w:sz w:val="28"/>
          <w:szCs w:val="28"/>
          <w:highlight w:val="none"/>
        </w:rPr>
      </w:pPr>
      <w:r/>
      <w:bookmarkStart w:id="39" w:name="_Toc103590268"/>
      <w:r>
        <w:rPr>
          <w:rFonts w:hint="eastAsia" w:ascii="仿宋" w:hAnsi="仿宋" w:eastAsia="仿宋" w:cs="仿宋"/>
          <w:color w:val="auto"/>
          <w:spacing w:val="0"/>
          <w:sz w:val="28"/>
          <w:szCs w:val="28"/>
          <w:highlight w:val="none"/>
        </w:rPr>
        <w:t xml:space="preserve">2.1.4 运维问题处理规范</w:t>
      </w:r>
      <w:bookmarkEnd w:id="39"/>
      <w:r>
        <w:rPr>
          <w:rFonts w:hint="eastAsia" w:ascii="仿宋" w:hAnsi="仿宋" w:eastAsia="仿宋" w:cs="仿宋"/>
          <w:color w:val="auto"/>
          <w:spacing w:val="0"/>
          <w:sz w:val="28"/>
          <w:szCs w:val="28"/>
          <w:highlight w:val="none"/>
        </w:rPr>
        <w:t xml:space="preserve">要求</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为规范问题的处理过程，特对问题处理的不同阶段进行描述，以保障整个过程的安全可控。在保障系统平稳运行基础上，明确各方工作职责。处理过程中主要包括问题生效、问题反馈、补丁更新、问题关闭几部分。</w:t>
      </w:r>
      <w:r/>
    </w:p>
    <w:p>
      <w:pPr>
        <w:pStyle w:val="989"/>
        <w:ind w:firstLine="560"/>
        <w:spacing w:line="560" w:lineRule="exact"/>
        <w:rPr>
          <w:rFonts w:ascii="仿宋" w:hAnsi="仿宋" w:eastAsia="仿宋" w:cs="仿宋"/>
          <w:color w:val="auto"/>
          <w:spacing w:val="0"/>
          <w:sz w:val="28"/>
          <w:szCs w:val="28"/>
          <w:highlight w:val="none"/>
        </w:rPr>
      </w:pPr>
      <w:r/>
      <w:bookmarkStart w:id="40" w:name="_Toc103590269"/>
      <w:r>
        <w:rPr>
          <w:rFonts w:hint="eastAsia" w:ascii="仿宋" w:hAnsi="仿宋" w:eastAsia="仿宋" w:cs="仿宋"/>
          <w:color w:val="auto"/>
          <w:spacing w:val="0"/>
          <w:sz w:val="28"/>
          <w:szCs w:val="28"/>
          <w:highlight w:val="none"/>
        </w:rPr>
        <w:t xml:space="preserve">2.1.4.1问题划分</w:t>
      </w:r>
      <w:bookmarkEnd w:id="40"/>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按照对日常软件系统维护过程中出现的问题的理解，可以把问题分为如下几类：</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业务咨询：一般指各级经办机构操作员针对特殊业务的软件经办或参保对象针对相关政策的咨询类问题；</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环境故障：一般指客户端电脑、打印机、内部网络等设备在使用中出现的问题；</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软件错误：一般指软件控制、显示、计算等过程出现错误的情况；</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人为错误：一般指软件原本功能正常，因运维工程师软件修改、版本更新等意外引发错误；</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功能改进：一般指软件控制、显示等过程需要改善以增加操作方便性、提高使用效率的情况；</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需求变更：一般指因政策调整或新政策出台，从而造成软件功能的调整。</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需求新增：一般指因政策调整或新政策出台，从而造成软件功能的新增。</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单笔数据调整：一般指因历史数据转换、或各种原因导致的经办错误造成需要对某单位、个人的后台数据进行调整的情况。</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批量数据处理：一般指因历史数据转换、满足政策调整要求等原因导致的经办错误造成需要对一定范围内的单位、个人的后台数据进行调整的情况。</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按照业务特点分为以下几部分：公共业务、医疗待遇、生育待遇等。</w:t>
      </w:r>
      <w:r/>
    </w:p>
    <w:p>
      <w:pPr>
        <w:pStyle w:val="989"/>
        <w:ind w:firstLine="560"/>
        <w:spacing w:line="560" w:lineRule="exact"/>
        <w:rPr>
          <w:rFonts w:ascii="仿宋" w:hAnsi="仿宋" w:eastAsia="仿宋" w:cs="仿宋"/>
          <w:color w:val="auto"/>
          <w:spacing w:val="0"/>
          <w:sz w:val="28"/>
          <w:szCs w:val="28"/>
          <w:highlight w:val="none"/>
        </w:rPr>
      </w:pPr>
      <w:r/>
      <w:bookmarkStart w:id="41" w:name="_Toc103590270"/>
      <w:r>
        <w:rPr>
          <w:rFonts w:hint="eastAsia" w:ascii="仿宋" w:hAnsi="仿宋" w:eastAsia="仿宋" w:cs="仿宋"/>
          <w:color w:val="auto"/>
          <w:spacing w:val="0"/>
          <w:sz w:val="28"/>
          <w:szCs w:val="28"/>
          <w:highlight w:val="none"/>
        </w:rPr>
        <w:t xml:space="preserve">2.1.4.2问题生效</w:t>
      </w:r>
      <w:bookmarkEnd w:id="41"/>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避免问题重复提出或不同经办机构存在理解差异，市、区（县）、街道、社区、医疗机构等各经办单位提出的问题统一提交到市级经办机构，经办机构指定负责</w:t>
      </w:r>
      <w:r>
        <w:rPr>
          <w:rFonts w:hint="eastAsia" w:ascii="仿宋" w:hAnsi="仿宋" w:eastAsia="仿宋" w:cs="仿宋"/>
          <w:color w:val="auto"/>
          <w:spacing w:val="0"/>
          <w:sz w:val="28"/>
          <w:szCs w:val="28"/>
          <w:highlight w:val="none"/>
        </w:rPr>
        <w:t xml:space="preserve">人，由该负责人分清问题类型并确认问题优先级后提交给信息部门相关责任人（产出文档为《应用软件业务联系单》），最终由信息部门确认并提交运维项目组，此问题正式生效。对于需要省局审核类的问题，在正式生效前需由信息部门提交省局进行评估，如果评估为设区市自行解决的提交运维项目组进行生效。问题生效后应在第一时间确定问题分类，根据不同类别问题按照不同的问题处理流程逐步进行问题分析、处理、反馈、确认及关闭。《应用软件业务联系单》由提出人发起，由中间接收人及处理人签字确认接收，并在处理完成后由提出人签字确认处理完毕，形成闭环。</w:t>
      </w:r>
      <w:r/>
    </w:p>
    <w:p>
      <w:pPr>
        <w:pStyle w:val="989"/>
        <w:ind w:firstLine="560"/>
        <w:spacing w:line="560" w:lineRule="exact"/>
        <w:rPr>
          <w:rFonts w:ascii="仿宋" w:hAnsi="仿宋" w:eastAsia="仿宋" w:cs="仿宋"/>
          <w:color w:val="auto"/>
          <w:spacing w:val="0"/>
          <w:sz w:val="28"/>
          <w:szCs w:val="28"/>
          <w:highlight w:val="none"/>
        </w:rPr>
      </w:pPr>
      <w:r/>
      <w:bookmarkStart w:id="42" w:name="_Toc103590271"/>
      <w:r>
        <w:rPr>
          <w:rFonts w:hint="eastAsia" w:ascii="仿宋" w:hAnsi="仿宋" w:eastAsia="仿宋" w:cs="仿宋"/>
          <w:color w:val="auto"/>
          <w:spacing w:val="0"/>
          <w:sz w:val="28"/>
          <w:szCs w:val="28"/>
          <w:highlight w:val="none"/>
        </w:rPr>
        <w:t xml:space="preserve">2.1.4.3问题反馈</w:t>
      </w:r>
      <w:bookmarkEnd w:id="42"/>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（1）运维技术人员接收到信息部门《应用软件业务联系单》后（一式两份），需在接收时签下接收人姓名及接收时间。</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（2）运维技术人员在对问题接收后，于一个工作日内反馈处理意见，包括是否可以解决、计划提交测试时间等。</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（3）对于不能解决的问题，需要与信息部门及相关业务负责人进行说明，三方达成一致意见后结束该问题，否则回到第2步。</w:t>
      </w:r>
      <w:r/>
    </w:p>
    <w:p>
      <w:pPr>
        <w:pStyle w:val="989"/>
        <w:ind w:firstLine="560"/>
        <w:spacing w:line="560" w:lineRule="exact"/>
        <w:rPr>
          <w:rFonts w:ascii="仿宋" w:hAnsi="仿宋" w:eastAsia="仿宋" w:cs="仿宋"/>
          <w:color w:val="auto"/>
          <w:spacing w:val="0"/>
          <w:sz w:val="28"/>
          <w:szCs w:val="28"/>
          <w:highlight w:val="none"/>
        </w:rPr>
      </w:pPr>
      <w:r/>
      <w:bookmarkStart w:id="43" w:name="_Toc103590272"/>
      <w:r>
        <w:rPr>
          <w:rFonts w:hint="eastAsia" w:ascii="仿宋" w:hAnsi="仿宋" w:eastAsia="仿宋" w:cs="仿宋"/>
          <w:color w:val="auto"/>
          <w:spacing w:val="0"/>
          <w:sz w:val="28"/>
          <w:szCs w:val="28"/>
          <w:highlight w:val="none"/>
        </w:rPr>
        <w:t xml:space="preserve">2.1.4.4补丁更新</w:t>
      </w:r>
      <w:bookmarkEnd w:id="43"/>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补丁更新过程主要指：开发人员对软件问题修改完毕后，由现场人员测试通过并提交业务人员测试验证通过后再更新到正式软件系统的全过程。每次补丁的更新将决定系统更新前后的稳定性和准确性，所以必须严格规范。此节将对该过程进行较严谨的定义，在具体执行时可根据本次修改涉及的范围及影响度对过程进行筛选。</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（1）对于已经修改完成的问题，必须由运维技术人员进行内部测试确认完成后，再提交信息部门及相关业务人员进行测试。</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（2）由信息部门和相关业务人员测试通过后，在《应用软件业务联系单》上签字确认。对于测试未通过的问题，由运维项目组接收后，重新按第1步执行。</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3）当补丁更新后可能影响医疗机构、参保人员结算时，例如医疗机构、参保人员结算需要用到的前、后台程序；医疗机构、参保人员结算时可能用到的参数等。补丁更新时间应在晚20点后，此时在补丁更新到正式环境后，必须联系几家具有代表性的定点医疗机构（如接口医院、接口药店、收费端医院、收费端药店），确认其在更新后可以成功进行正常结算，此时方能确认补丁更新成功。</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4）对于涉及定点医疗机构本地软件更新补丁的情况，例如接口动态库更新、收费端软件更新。此时应该先只更新给1-2家有代表性质的定点医疗机构，确认其在24小时内可以连续成功进行医保消费后，才能进行批量更新。</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（5）补丁更新到正式环境后，需要通知信息部门、业务部门的问题提出人及相关关注人员补丁已更新。</w:t>
      </w:r>
      <w:r/>
    </w:p>
    <w:p>
      <w:pPr>
        <w:pStyle w:val="989"/>
        <w:ind w:firstLine="560"/>
        <w:spacing w:line="560" w:lineRule="exact"/>
        <w:rPr>
          <w:rFonts w:ascii="仿宋" w:hAnsi="仿宋" w:eastAsia="仿宋" w:cs="仿宋"/>
          <w:color w:val="auto"/>
          <w:spacing w:val="0"/>
          <w:sz w:val="28"/>
          <w:szCs w:val="28"/>
          <w:highlight w:val="none"/>
        </w:rPr>
      </w:pPr>
      <w:r/>
      <w:bookmarkStart w:id="44" w:name="_Toc103590273"/>
      <w:r>
        <w:rPr>
          <w:rFonts w:hint="eastAsia" w:ascii="仿宋" w:hAnsi="仿宋" w:eastAsia="仿宋" w:cs="仿宋"/>
          <w:color w:val="auto"/>
          <w:spacing w:val="0"/>
          <w:sz w:val="28"/>
          <w:szCs w:val="28"/>
          <w:highlight w:val="none"/>
        </w:rPr>
        <w:t xml:space="preserve">2.1.4.5数据处理</w:t>
      </w:r>
      <w:bookmarkEnd w:id="44"/>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对于确定为‘单笔数据调整’或‘批量数据处理’类的问题，需要工程师对生产库中的数据进行后台调整，这对调整的准确性、数据库的安全性都提出了很高的要求，所以需要遵循一定的工作规范：</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（1）对于常见数据处理问题必须建立固定的数据‘处理脚本’，此类问题干系人为工程师本人；</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（2）任何数据处理前都需要留下清楚的‘处理记录’，干系人为工程师本人；</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3）对于单笔的疑难数据处理、批量数据处理，需要由信息部门、业务人员、项目经理共同确认并对处理方式进行讨论，根据讨论后的方案完成‘处理脚本’；干系人为工程师本人、项目经理、信息部门相关人员、业务人员；</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（4）删除性质的单笔数据处理以及批量数据处理，需要在事前做好备份工作，留下‘备份数据’。说明：应在数据库中建立单独的备份用户，统一管理。不允许将数据随意备份在生产数据所在用户。</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（5）在测试库上进行模拟测试并获得干系人对结果进行确认后，上报信息部门。</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6）经过信息部门确认测试结果的准确性，确认‘处理脚本’、‘处理记录’、‘备份数据’的完整性，之后由信息部门人员辅助运维工程师进行正式环境的数据处理（需遵照工作纪律规范中的数据库密码安全管理）。</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（7）在正式环境完成数据处理后，由业务人员在处理后或系统运行过程中验证处理结果；因为已有较严谨的事前规范，所以对于发现处理后存在问题的情况，以新问题方式提出。</w:t>
      </w:r>
      <w:r/>
    </w:p>
    <w:p>
      <w:pPr>
        <w:pStyle w:val="989"/>
        <w:ind w:firstLine="560"/>
        <w:spacing w:line="560" w:lineRule="exact"/>
        <w:rPr>
          <w:rFonts w:ascii="仿宋" w:hAnsi="仿宋" w:eastAsia="仿宋" w:cs="仿宋"/>
          <w:color w:val="auto"/>
          <w:spacing w:val="0"/>
          <w:sz w:val="28"/>
          <w:szCs w:val="28"/>
          <w:highlight w:val="none"/>
        </w:rPr>
      </w:pPr>
      <w:r/>
      <w:bookmarkStart w:id="45" w:name="_Toc103590274"/>
      <w:r>
        <w:rPr>
          <w:rFonts w:hint="eastAsia" w:ascii="仿宋" w:hAnsi="仿宋" w:eastAsia="仿宋" w:cs="仿宋"/>
          <w:color w:val="auto"/>
          <w:spacing w:val="0"/>
          <w:sz w:val="28"/>
          <w:szCs w:val="28"/>
          <w:highlight w:val="none"/>
        </w:rPr>
        <w:t xml:space="preserve">2.1.4.6问题关闭</w:t>
      </w:r>
      <w:bookmarkEnd w:id="45"/>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对于按照问题处理规范完成问题生效、补丁更新的问题，待相关软件功能平稳、准确超过1个工作日后，可将问题进行关闭处理。</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特别说明：如问题关闭一定时间后，在相关功能上又出现新的问题，则按新问题进行处理，与原问题无关。</w:t>
      </w:r>
      <w:r/>
    </w:p>
    <w:p>
      <w:pPr>
        <w:pStyle w:val="709"/>
        <w:ind w:firstLine="560"/>
        <w:spacing w:line="520" w:lineRule="exact"/>
        <w:rPr>
          <w:rFonts w:ascii="仿宋" w:hAnsi="仿宋" w:eastAsia="仿宋" w:cs="仿宋"/>
          <w:bCs/>
          <w:color w:val="auto"/>
          <w:sz w:val="28"/>
          <w:szCs w:val="28"/>
          <w:highlight w:val="none"/>
        </w:rPr>
      </w:pPr>
      <w:r/>
      <w:bookmarkStart w:id="46" w:name="_Toc103590275"/>
      <w:r>
        <w:rPr>
          <w:rFonts w:hint="eastAsia" w:ascii="仿宋" w:hAnsi="仿宋" w:eastAsia="仿宋" w:cs="仿宋"/>
          <w:color w:val="auto"/>
          <w:sz w:val="28"/>
          <w:szCs w:val="28"/>
          <w:highlight w:val="none"/>
        </w:rPr>
        <w:t xml:space="preserve">三、</w:t>
      </w:r>
      <w:r>
        <w:rPr>
          <w:rFonts w:hint="eastAsia" w:ascii="仿宋" w:hAnsi="仿宋" w:eastAsia="仿宋" w:cs="仿宋"/>
          <w:bCs/>
          <w:color w:val="auto"/>
          <w:sz w:val="28"/>
          <w:szCs w:val="28"/>
          <w:highlight w:val="none"/>
        </w:rPr>
        <w:t xml:space="preserve">保密及信息安全要求</w:t>
      </w:r>
      <w:r/>
    </w:p>
    <w:p>
      <w:pPr>
        <w:pStyle w:val="709"/>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委托乙方进行医保系统运维时应遵守保密协议条款，乙方应加强对驻场人员的管理，禁止将保密信息泄露。乙方如有违法相关保密条款及信息安全规定，甲方有权无条件提前终止合同，并要求乙方承担相关经济损失。</w:t>
      </w:r>
      <w:r/>
    </w:p>
    <w:p>
      <w:pPr>
        <w:pStyle w:val="709"/>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（1）甲乙双方共同自觉遵守国家有关信息安全的各项法律法规。</w:t>
      </w:r>
      <w:r/>
    </w:p>
    <w:p>
      <w:pPr>
        <w:pStyle w:val="709"/>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（2）乙方不得将甲方的保密信息透露给任何第三方，避免由于疏忽将保密信息透露给任何第三方。</w:t>
      </w:r>
      <w:r/>
    </w:p>
    <w:p>
      <w:pPr>
        <w:pStyle w:val="709"/>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（3）乙方不得使用甲方的保密信息也不应在自己的组织内流通。</w:t>
      </w:r>
      <w:r/>
    </w:p>
    <w:p>
      <w:pPr>
        <w:pStyle w:val="709"/>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（4）乙方未经批准或授权，禁止复印、摘抄、随意或恶意拿走甲方秘密文件，电脑软、硬件等。</w:t>
      </w:r>
      <w:r/>
    </w:p>
    <w:p>
      <w:pPr>
        <w:pStyle w:val="709"/>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（5）乙方不得向第三方人员泄露任何数据信息，数据库访问权限严格履行授权制度，并确保每次访问有记录可查。</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四、运维服务期限</w:t>
      </w:r>
      <w:bookmarkEnd w:id="46"/>
      <w:r>
        <w:rPr>
          <w:rFonts w:hint="eastAsia" w:ascii="仿宋" w:hAnsi="仿宋" w:eastAsia="仿宋" w:cs="仿宋"/>
          <w:color w:val="auto"/>
          <w:spacing w:val="0"/>
          <w:sz w:val="28"/>
          <w:szCs w:val="28"/>
          <w:highlight w:val="none"/>
        </w:rPr>
        <w:t xml:space="preserve">要求</w:t>
      </w:r>
      <w:r/>
    </w:p>
    <w:p>
      <w:pPr>
        <w:pStyle w:val="989"/>
        <w:ind w:firstLine="560"/>
        <w:spacing w:line="560" w:lineRule="exact"/>
        <w:rPr>
          <w:rFonts w:ascii="仿宋" w:hAnsi="仿宋" w:eastAsia="仿宋" w:cs="仿宋"/>
          <w:color w:val="auto"/>
          <w:spacing w:val="0"/>
          <w:sz w:val="28"/>
          <w:szCs w:val="28"/>
          <w:highlight w:val="none"/>
        </w:rPr>
      </w:pPr>
      <w:r/>
      <w:bookmarkStart w:id="47" w:name="_Toc103590276"/>
      <w:r>
        <w:rPr>
          <w:rFonts w:hint="eastAsia" w:ascii="仿宋" w:hAnsi="仿宋" w:eastAsia="仿宋" w:cs="仿宋"/>
          <w:color w:val="auto"/>
          <w:spacing w:val="0"/>
          <w:sz w:val="28"/>
          <w:szCs w:val="28"/>
          <w:highlight w:val="none"/>
        </w:rPr>
        <w:t xml:space="preserve">运维服务期限：2025年7月1日-2026年12月31日。</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2.1.7运维服务人员要求</w:t>
      </w:r>
      <w:bookmarkEnd w:id="47"/>
      <w:r/>
      <w:r/>
    </w:p>
    <w:p>
      <w:pPr>
        <w:pStyle w:val="989"/>
        <w:ind w:firstLine="560"/>
        <w:spacing w:line="560" w:lineRule="exact"/>
        <w:rPr>
          <w:rFonts w:ascii="仿宋" w:hAnsi="仿宋" w:eastAsia="仿宋" w:cs="仿宋"/>
          <w:color w:val="auto"/>
          <w:spacing w:val="0"/>
          <w:sz w:val="28"/>
          <w:szCs w:val="28"/>
          <w:highlight w:val="none"/>
        </w:rPr>
      </w:pPr>
      <w:r/>
      <w:bookmarkStart w:id="48" w:name="_Toc103590277"/>
      <w:r>
        <w:rPr>
          <w:rFonts w:hint="eastAsia" w:ascii="仿宋" w:hAnsi="仿宋" w:eastAsia="仿宋" w:cs="仿宋"/>
          <w:color w:val="auto"/>
          <w:spacing w:val="0"/>
          <w:sz w:val="28"/>
          <w:szCs w:val="28"/>
          <w:highlight w:val="none"/>
        </w:rPr>
        <w:t xml:space="preserve">2.1.7.1人员数量要求</w:t>
      </w:r>
      <w:bookmarkEnd w:id="48"/>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现场派驻4名技术人员，指定其中1人为项目经理。指派3名资深技术人员作为淮安医保局专职远程运维支持服务人员。日常工作地点为承建商办公地，如有需要则至项目现场。</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2.1.6.2驻场人员作息要求</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工作日：按照市医保局作息时间。</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节假日：至少安排1名技术工程师市内值班，根据项目需要现场值班或加班。</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2.1.7.3服务时间要求</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正常工作时间：现场派驻人员按照淮安市医保局工作时间提供现场服务，及时响应。</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非工作时间：提供7*24小时不关机响应紧急问题。</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2.1.8故障定义及响应时间要求</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一级：属于普通问题。表现为系统运行效率降低、用户体验较差等现象。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二级：属于较严重问题。表现为系统运行效率明显下降、数据出现误差等现象。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三级：属于严重问题。其具体现象为：表现为系统运行出现间断、数据严重失真或缺失等现象。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四级：属于紧急问题。表现为因系统自身故障导致系统停止运行、数据丢失现象。</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根据上述故障级别，成交供应商提供的服务响应要求如下：</w:t>
      </w:r>
      <w:r/>
    </w:p>
    <w:p>
      <w:pPr>
        <w:pStyle w:val="989"/>
        <w:ind w:firstLine="560"/>
        <w:spacing w:line="560" w:lineRule="exact"/>
        <w:rPr>
          <w:rFonts w:ascii="仿宋" w:hAnsi="仿宋" w:eastAsia="仿宋" w:cs="仿宋"/>
          <w:color w:val="auto"/>
          <w:spacing w:val="0"/>
          <w:sz w:val="28"/>
          <w:szCs w:val="28"/>
          <w:highlight w:val="none"/>
        </w:rPr>
      </w:pPr>
      <w:r>
        <w:rPr>
          <w:rFonts w:ascii="仿宋" w:hAnsi="仿宋" w:eastAsia="仿宋" w:cs="仿宋"/>
          <w:color w:val="auto"/>
          <w:spacing w:val="0"/>
          <w:sz w:val="28"/>
          <w:szCs w:val="28"/>
          <w:highlight w:val="none"/>
        </w:rPr>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2572"/>
        <w:gridCol w:w="2168"/>
        <w:gridCol w:w="2120"/>
      </w:tblGrid>
      <w:tr>
        <w:trPr>
          <w:jc w:val="center"/>
        </w:trPr>
        <w:tc>
          <w:tcPr>
            <w:shd w:val="clear" w:color="auto" w:fill="d9d9d9"/>
            <w:tcBorders>
              <w:bottom w:val="none" w:color="000000" w:sz="4" w:space="0"/>
            </w:tcBorders>
            <w:tcW w:w="1560" w:type="dxa"/>
            <w:vAlign w:val="center"/>
            <w:textDirection w:val="lrTb"/>
            <w:noWrap/>
          </w:tcPr>
          <w:p>
            <w:pPr>
              <w:jc w:val="cente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故障级别</w:t>
            </w:r>
            <w:r/>
          </w:p>
        </w:tc>
        <w:tc>
          <w:tcPr>
            <w:shd w:val="clear" w:color="auto" w:fill="d9d9d9"/>
            <w:tcBorders>
              <w:bottom w:val="none" w:color="000000" w:sz="4" w:space="0"/>
            </w:tcBorders>
            <w:tcW w:w="2572" w:type="dxa"/>
            <w:vAlign w:val="center"/>
            <w:textDirection w:val="lrTb"/>
            <w:noWrap/>
          </w:tcPr>
          <w:p>
            <w:pPr>
              <w:jc w:val="cente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电话响应时限</w:t>
            </w:r>
            <w:r/>
          </w:p>
        </w:tc>
        <w:tc>
          <w:tcPr>
            <w:shd w:val="clear" w:color="auto" w:fill="d9d9d9"/>
            <w:tcBorders>
              <w:bottom w:val="none" w:color="000000" w:sz="4" w:space="0"/>
            </w:tcBorders>
            <w:tcW w:w="2168" w:type="dxa"/>
            <w:vAlign w:val="center"/>
            <w:textDirection w:val="lrTb"/>
            <w:noWrap/>
          </w:tcPr>
          <w:p>
            <w:pPr>
              <w:jc w:val="cente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人员到场时限</w:t>
            </w:r>
            <w:r/>
          </w:p>
        </w:tc>
        <w:tc>
          <w:tcPr>
            <w:shd w:val="clear" w:color="auto" w:fill="d9d9d9"/>
            <w:tcBorders>
              <w:bottom w:val="none" w:color="000000" w:sz="4" w:space="0"/>
            </w:tcBorders>
            <w:tcW w:w="2120" w:type="dxa"/>
            <w:vAlign w:val="center"/>
            <w:textDirection w:val="lrTb"/>
            <w:noWrap/>
          </w:tcPr>
          <w:p>
            <w:pPr>
              <w:jc w:val="cente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故障解决时限</w:t>
            </w:r>
            <w:r/>
          </w:p>
        </w:tc>
      </w:tr>
      <w:tr>
        <w:trPr>
          <w:jc w:val="center"/>
        </w:trPr>
        <w:tc>
          <w:tcPr>
            <w:tcBorders>
              <w:top w:val="none" w:color="000000" w:sz="4" w:space="0"/>
            </w:tcBorders>
            <w:tcW w:w="156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四级</w:t>
            </w:r>
            <w:r/>
          </w:p>
        </w:tc>
        <w:tc>
          <w:tcPr>
            <w:tcBorders>
              <w:top w:val="none" w:color="000000" w:sz="4" w:space="0"/>
            </w:tcBorders>
            <w:tcW w:w="2572"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5分钟</w:t>
            </w:r>
            <w:r/>
          </w:p>
        </w:tc>
        <w:tc>
          <w:tcPr>
            <w:tcBorders>
              <w:top w:val="none" w:color="000000" w:sz="4" w:space="0"/>
            </w:tcBorders>
            <w:tcW w:w="2168"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1小时</w:t>
            </w:r>
            <w:r/>
          </w:p>
        </w:tc>
        <w:tc>
          <w:tcPr>
            <w:tcBorders>
              <w:top w:val="none" w:color="000000" w:sz="4" w:space="0"/>
            </w:tcBorders>
            <w:tcW w:w="212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4小时</w:t>
            </w:r>
            <w:r/>
          </w:p>
        </w:tc>
      </w:tr>
      <w:tr>
        <w:trPr>
          <w:jc w:val="center"/>
        </w:trPr>
        <w:tc>
          <w:tcPr>
            <w:tcW w:w="156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三级</w:t>
            </w:r>
            <w:r/>
          </w:p>
        </w:tc>
        <w:tc>
          <w:tcPr>
            <w:tcW w:w="2572"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5分钟</w:t>
            </w:r>
            <w:r/>
          </w:p>
        </w:tc>
        <w:tc>
          <w:tcPr>
            <w:tcW w:w="2168"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2小时</w:t>
            </w:r>
            <w:r/>
          </w:p>
        </w:tc>
        <w:tc>
          <w:tcPr>
            <w:tcW w:w="212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4小时</w:t>
            </w:r>
            <w:r/>
          </w:p>
        </w:tc>
      </w:tr>
      <w:tr>
        <w:trPr>
          <w:jc w:val="center"/>
        </w:trPr>
        <w:tc>
          <w:tcPr>
            <w:tcW w:w="156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二级</w:t>
            </w:r>
            <w:r/>
          </w:p>
        </w:tc>
        <w:tc>
          <w:tcPr>
            <w:tcW w:w="2572"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5分钟</w:t>
            </w:r>
            <w:r/>
          </w:p>
        </w:tc>
        <w:tc>
          <w:tcPr>
            <w:tcW w:w="2168"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3小时</w:t>
            </w:r>
            <w:r/>
          </w:p>
        </w:tc>
        <w:tc>
          <w:tcPr>
            <w:tcW w:w="212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12小时</w:t>
            </w:r>
            <w:r/>
          </w:p>
        </w:tc>
      </w:tr>
      <w:tr>
        <w:trPr>
          <w:jc w:val="center"/>
        </w:trPr>
        <w:tc>
          <w:tcPr>
            <w:tcW w:w="156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一级</w:t>
            </w:r>
            <w:r/>
          </w:p>
        </w:tc>
        <w:tc>
          <w:tcPr>
            <w:tcW w:w="2572"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5分钟</w:t>
            </w:r>
            <w:r/>
          </w:p>
        </w:tc>
        <w:tc>
          <w:tcPr>
            <w:tcW w:w="2168"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4小时</w:t>
            </w:r>
            <w:r/>
          </w:p>
        </w:tc>
        <w:tc>
          <w:tcPr>
            <w:tcW w:w="2120" w:type="dxa"/>
            <w:vAlign w:val="center"/>
            <w:textDirection w:val="lrTb"/>
            <w:noWrap/>
          </w:tcPr>
          <w:p>
            <w:pPr>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12小时</w:t>
            </w:r>
            <w:r/>
          </w:p>
        </w:tc>
      </w:tr>
    </w:tbl>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在运维服务期内，实时监测系统运行状态，提供灵活多样的有效运维方式（包括但不限于驻场、远程服务、专用服务电话等），提供7*24 小时的响应服务，保证在任何时候工作人员都能及时找到运维服务人员。如遇驻场人员无法解决的问题或认为需要技术人员提供现场支持的，运维服务技术人员必须在规定时间内赶到现场提供支持。</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五、驻场人员运维服务质量考核办法：</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供应商按照承诺安排现场软件维护服务人员进驻现场，约定以半年度为服务质量考核周期,由采购人信息部门组织相关部门进行总结评分，该评分作为年度软件服务外包质量考核的重要组成部分。具体评分制度为：</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（1）评分采用百分制，满分为100分</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（2）从几个角度进行评分（加分或扣分），具体如下表：</w:t>
      </w:r>
      <w:r/>
    </w:p>
    <w:tbl>
      <w:tblPr>
        <w:tblStyle w:val="70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997"/>
        <w:gridCol w:w="1236"/>
        <w:gridCol w:w="1077"/>
        <w:gridCol w:w="983"/>
        <w:gridCol w:w="1092"/>
        <w:gridCol w:w="869"/>
        <w:gridCol w:w="958"/>
      </w:tblGrid>
      <w:tr>
        <w:trPr>
          <w:trHeight w:val="706"/>
        </w:trPr>
        <w:tc>
          <w:tcPr>
            <w:gridSpan w:val="2"/>
            <w:tcW w:w="1510" w:type="pct"/>
            <w:vAlign w:val="center"/>
            <w:textDirection w:val="lrTb"/>
            <w:noWrap/>
          </w:tcPr>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服务年度内计划内达成率(%)</w:t>
            </w:r>
            <w:r/>
          </w:p>
        </w:tc>
        <w:tc>
          <w:tcPr>
            <w:gridSpan w:val="2"/>
            <w:tcW w:w="1299" w:type="pct"/>
            <w:vAlign w:val="center"/>
            <w:textDirection w:val="lrTb"/>
            <w:noWrap/>
          </w:tcPr>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特别关注类问题 延期时间（天）</w:t>
            </w:r>
            <w:r/>
          </w:p>
        </w:tc>
        <w:tc>
          <w:tcPr>
            <w:gridSpan w:val="2"/>
            <w:tcW w:w="1165" w:type="pct"/>
            <w:vAlign w:val="center"/>
            <w:textDirection w:val="lrTb"/>
            <w:noWrap/>
          </w:tcPr>
          <w:p>
            <w:pPr>
              <w:ind w:left="281" w:hanging="281"/>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业务部门整体满意度</w:t>
            </w:r>
            <w:r/>
          </w:p>
        </w:tc>
        <w:tc>
          <w:tcPr>
            <w:gridSpan w:val="2"/>
            <w:tcW w:w="1026" w:type="pct"/>
            <w:vAlign w:val="center"/>
            <w:textDirection w:val="lrTb"/>
            <w:noWrap/>
          </w:tcPr>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信息部门整体满意度</w:t>
            </w:r>
            <w:r/>
          </w:p>
        </w:tc>
      </w:tr>
      <w:tr>
        <w:trPr>
          <w:trHeight w:val="166"/>
        </w:trPr>
        <w:tc>
          <w:tcPr>
            <w:tcW w:w="95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达成率水平</w:t>
            </w:r>
            <w:r/>
          </w:p>
        </w:tc>
        <w:tc>
          <w:tcPr>
            <w:tcW w:w="56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评分</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标准</w:t>
            </w:r>
            <w:r/>
          </w:p>
        </w:tc>
        <w:tc>
          <w:tcPr>
            <w:tcW w:w="694"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延期程度</w:t>
            </w:r>
            <w:r/>
          </w:p>
        </w:tc>
        <w:tc>
          <w:tcPr>
            <w:tcW w:w="605"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评分标准</w:t>
            </w:r>
            <w:r/>
          </w:p>
        </w:tc>
        <w:tc>
          <w:tcPr>
            <w:tcW w:w="552"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满意度</w:t>
            </w:r>
            <w:r/>
          </w:p>
        </w:tc>
        <w:tc>
          <w:tcPr>
            <w:tcW w:w="613"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评分标准</w:t>
            </w:r>
            <w:r/>
          </w:p>
        </w:tc>
        <w:tc>
          <w:tcPr>
            <w:tcW w:w="48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成效</w:t>
            </w:r>
            <w:r/>
          </w:p>
        </w:tc>
        <w:tc>
          <w:tcPr>
            <w:tcW w:w="53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评分标准</w:t>
            </w:r>
            <w:r/>
          </w:p>
        </w:tc>
      </w:tr>
      <w:tr>
        <w:trPr>
          <w:trHeight w:val="166"/>
        </w:trPr>
        <w:tc>
          <w:tcPr>
            <w:tcW w:w="95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达成率≥90%</w:t>
            </w:r>
            <w:r/>
          </w:p>
        </w:tc>
        <w:tc>
          <w:tcPr>
            <w:tcW w:w="56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694"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10≥延期&gt;0</w:t>
            </w:r>
            <w:r/>
          </w:p>
        </w:tc>
        <w:tc>
          <w:tcPr>
            <w:tcW w:w="605"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52"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非常满意</w:t>
            </w:r>
            <w:r/>
          </w:p>
        </w:tc>
        <w:tc>
          <w:tcPr>
            <w:tcW w:w="613"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48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好</w:t>
            </w:r>
            <w:r/>
          </w:p>
        </w:tc>
        <w:tc>
          <w:tcPr>
            <w:tcW w:w="53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r>
      <w:tr>
        <w:trPr>
          <w:trHeight w:val="166"/>
        </w:trPr>
        <w:tc>
          <w:tcPr>
            <w:tcW w:w="95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90%&gt;达成率≥80%</w:t>
            </w:r>
            <w:r/>
          </w:p>
        </w:tc>
        <w:tc>
          <w:tcPr>
            <w:tcW w:w="56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w:t>
            </w:r>
            <w:r/>
          </w:p>
        </w:tc>
        <w:tc>
          <w:tcPr>
            <w:tcW w:w="694"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20≥延期&gt;10</w:t>
            </w:r>
            <w:r/>
          </w:p>
        </w:tc>
        <w:tc>
          <w:tcPr>
            <w:tcW w:w="605"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552"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比较满意</w:t>
            </w:r>
            <w:r/>
          </w:p>
        </w:tc>
        <w:tc>
          <w:tcPr>
            <w:tcW w:w="613"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48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一般</w:t>
            </w:r>
            <w:r/>
          </w:p>
        </w:tc>
        <w:tc>
          <w:tcPr>
            <w:tcW w:w="53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w:t>
            </w:r>
            <w:r/>
          </w:p>
        </w:tc>
      </w:tr>
      <w:tr>
        <w:trPr>
          <w:trHeight w:val="166"/>
        </w:trPr>
        <w:tc>
          <w:tcPr>
            <w:tcW w:w="95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80%&gt;达成率≥70%</w:t>
            </w:r>
            <w:r/>
          </w:p>
        </w:tc>
        <w:tc>
          <w:tcPr>
            <w:tcW w:w="56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694"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30≥延期&gt;20</w:t>
            </w:r>
            <w:r/>
          </w:p>
        </w:tc>
        <w:tc>
          <w:tcPr>
            <w:tcW w:w="605"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552"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一般</w:t>
            </w:r>
            <w:r/>
          </w:p>
        </w:tc>
        <w:tc>
          <w:tcPr>
            <w:tcW w:w="613"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48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差</w:t>
            </w:r>
            <w:r/>
          </w:p>
        </w:tc>
        <w:tc>
          <w:tcPr>
            <w:tcW w:w="53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r>
      <w:tr>
        <w:trPr>
          <w:trHeight w:val="166"/>
        </w:trPr>
        <w:tc>
          <w:tcPr>
            <w:tcW w:w="95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70%&gt;达成率≥60%</w:t>
            </w:r>
            <w:r/>
          </w:p>
        </w:tc>
        <w:tc>
          <w:tcPr>
            <w:tcW w:w="56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694"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60≥延期&gt;30</w:t>
            </w:r>
            <w:r/>
          </w:p>
        </w:tc>
        <w:tc>
          <w:tcPr>
            <w:tcW w:w="605"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552"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不满意</w:t>
            </w:r>
            <w:r/>
          </w:p>
        </w:tc>
        <w:tc>
          <w:tcPr>
            <w:tcW w:w="613"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48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很差</w:t>
            </w:r>
            <w:r/>
          </w:p>
        </w:tc>
        <w:tc>
          <w:tcPr>
            <w:tcW w:w="53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r>
      <w:tr>
        <w:trPr>
          <w:trHeight w:val="166"/>
        </w:trPr>
        <w:tc>
          <w:tcPr>
            <w:tcW w:w="95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达成率&lt;60%</w:t>
            </w:r>
            <w:r/>
          </w:p>
        </w:tc>
        <w:tc>
          <w:tcPr>
            <w:tcW w:w="560"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694"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延期≥60</w:t>
            </w:r>
            <w:r/>
          </w:p>
        </w:tc>
        <w:tc>
          <w:tcPr>
            <w:tcW w:w="605"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552"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非常不满意</w:t>
            </w:r>
            <w:r/>
          </w:p>
        </w:tc>
        <w:tc>
          <w:tcPr>
            <w:tcW w:w="613"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48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非常差</w:t>
            </w:r>
            <w:r/>
          </w:p>
        </w:tc>
        <w:tc>
          <w:tcPr>
            <w:tcW w:w="538" w:type="pct"/>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r>
    </w:tbl>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说明：</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a）计划内达成率（%）：在服务周期内，计划内达成率=实际完成工单数/期望关闭时间内完成的问题数；在个别工单处理过程中，如因非运维团队原因造成问题处理周期加长，则运维团队所属单位有权利与医保局协商将计划完成时间进行顺延。</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b）特别关注类问题延期时间：特别关注类问题主要包括重大或紧急政策调整类的问题、严重影响业务经办的问题、以及局领导重点关注的问题等，对于医保局确定为‘特别关注’类的问题，延期时间=实际完成日期-医保局期望关闭日期。</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c）经办部门整体满意度：由评分小组对相关业务经办部门进行内部满意度调查，根据调查结果统一进行评分。</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d）信息部门整体满意度：由评分小组综合相关信息部门技术人员的评价后统一进行评分。</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综合评分后如总分低于80分，每降低一分采购人将可视情况扣除相应年度服务款2万元（但最多累计扣除金额不超过年度服务费总额的 20%），并要求供应商限期整改，组织力量，提高软件开发及运行维护的质量，提高采购人满意度。</w:t>
      </w:r>
      <w:r/>
    </w:p>
    <w:p>
      <w:pPr>
        <w:pStyle w:val="989"/>
        <w:ind w:firstLine="560"/>
        <w:spacing w:line="560" w:lineRule="exact"/>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 xml:space="preserve">六、商务部分</w:t>
      </w:r>
      <w:r/>
    </w:p>
    <w:p>
      <w:pPr>
        <w:pStyle w:val="989"/>
        <w:ind w:firstLine="560"/>
        <w:spacing w:line="560" w:lineRule="exact"/>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 xml:space="preserve">（一）服务时间: 18个月。</w:t>
      </w:r>
      <w:r/>
    </w:p>
    <w:p>
      <w:pPr>
        <w:pStyle w:val="989"/>
        <w:ind w:firstLine="560"/>
        <w:spacing w:line="560" w:lineRule="exact"/>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 xml:space="preserve">（二）服务地点:</w:t>
      </w:r>
      <w:r>
        <w:rPr>
          <w:rFonts w:hint="eastAsia" w:ascii="仿宋" w:hAnsi="仿宋" w:eastAsia="仿宋" w:cs="仿宋"/>
          <w:color w:val="auto"/>
          <w:spacing w:val="0"/>
          <w:sz w:val="28"/>
          <w:szCs w:val="28"/>
          <w:highlight w:val="none"/>
          <w:lang w:val="zh-CN" w:eastAsia="zh-CN"/>
        </w:rPr>
        <w:t xml:space="preserve">采购人指定地点</w:t>
      </w:r>
      <w:r>
        <w:rPr>
          <w:rFonts w:hint="eastAsia" w:ascii="仿宋" w:hAnsi="仿宋" w:eastAsia="仿宋" w:cs="仿宋"/>
          <w:color w:val="auto"/>
          <w:spacing w:val="0"/>
          <w:sz w:val="28"/>
          <w:szCs w:val="28"/>
          <w:highlight w:val="none"/>
          <w:lang w:val="en-US" w:eastAsia="zh-CN"/>
        </w:rPr>
        <w:t xml:space="preserve">。</w:t>
      </w:r>
      <w:r/>
    </w:p>
    <w:p>
      <w:pPr>
        <w:pStyle w:val="989"/>
        <w:ind w:firstLine="560"/>
        <w:spacing w:line="560" w:lineRule="exact"/>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 xml:space="preserve">（三）付款方式:</w:t>
      </w:r>
      <w:r/>
    </w:p>
    <w:p>
      <w:pPr>
        <w:pStyle w:val="989"/>
        <w:ind w:firstLine="560"/>
        <w:spacing w:line="560" w:lineRule="exact"/>
        <w:rPr>
          <w:rFonts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合同签订后预付合同价的40%，2025年12月31日前付至合同总价的95%，在202</w:t>
      </w:r>
      <w:r>
        <w:rPr>
          <w:rFonts w:hint="eastAsia" w:ascii="仿宋" w:hAnsi="仿宋" w:eastAsia="仿宋" w:cs="仿宋"/>
          <w:color w:val="auto"/>
          <w:spacing w:val="0"/>
          <w:sz w:val="28"/>
          <w:szCs w:val="28"/>
          <w:highlight w:val="none"/>
          <w:lang w:val="en-US" w:eastAsia="zh-CN"/>
        </w:rPr>
        <w:t xml:space="preserve">6</w:t>
      </w:r>
      <w:r>
        <w:rPr>
          <w:rFonts w:hint="eastAsia" w:ascii="仿宋" w:hAnsi="仿宋" w:eastAsia="仿宋" w:cs="仿宋"/>
          <w:color w:val="auto"/>
          <w:spacing w:val="0"/>
          <w:sz w:val="28"/>
          <w:szCs w:val="28"/>
          <w:highlight w:val="none"/>
        </w:rPr>
        <w:t xml:space="preserve">年</w:t>
      </w:r>
      <w:r>
        <w:rPr>
          <w:rFonts w:hint="eastAsia" w:ascii="仿宋" w:hAnsi="仿宋" w:eastAsia="仿宋" w:cs="仿宋"/>
          <w:color w:val="auto"/>
          <w:spacing w:val="0"/>
          <w:sz w:val="28"/>
          <w:szCs w:val="28"/>
          <w:highlight w:val="none"/>
          <w:lang w:val="en-US" w:eastAsia="zh-CN"/>
        </w:rPr>
        <w:t xml:space="preserve">12</w:t>
      </w:r>
      <w:r>
        <w:rPr>
          <w:rFonts w:hint="eastAsia" w:ascii="仿宋" w:hAnsi="仿宋" w:eastAsia="仿宋" w:cs="仿宋"/>
          <w:color w:val="auto"/>
          <w:spacing w:val="0"/>
          <w:sz w:val="28"/>
          <w:szCs w:val="28"/>
          <w:highlight w:val="none"/>
        </w:rPr>
        <w:t xml:space="preserve">月底前采购人根据该年度的《服务质量考核办法》，如综合评分不低于80分，2026年12月31日前验收合格后付清余款。</w:t>
      </w:r>
      <w:r/>
    </w:p>
    <w:p>
      <w:pPr>
        <w:pStyle w:val="989"/>
        <w:ind w:firstLine="560"/>
        <w:spacing w:line="560" w:lineRule="exact"/>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r>
      <w:r/>
    </w:p>
    <w:p>
      <w:pPr>
        <w:numPr>
          <w:numId w:val="0"/>
        </w:numPr>
        <w:jc w:val="center"/>
        <w:spacing w:line="400" w:lineRule="exact"/>
        <w:rPr>
          <w:rFonts w:hint="eastAsia" w:ascii="仿宋" w:hAnsi="仿宋" w:eastAsia="仿宋" w:cs="仿宋"/>
          <w:color w:val="auto"/>
          <w:spacing w:val="0"/>
          <w:sz w:val="28"/>
          <w:szCs w:val="28"/>
          <w:highlight w:val="none"/>
          <w:lang w:val="en-US" w:eastAsia="zh-CN" w:bidi="ar-SA"/>
        </w:rPr>
      </w:pPr>
      <w:r>
        <w:rPr>
          <w:rFonts w:hint="eastAsia" w:ascii="仿宋" w:hAnsi="仿宋" w:eastAsia="仿宋" w:cs="仿宋"/>
          <w:color w:val="auto"/>
          <w:spacing w:val="0"/>
          <w:sz w:val="28"/>
          <w:szCs w:val="28"/>
          <w:highlight w:val="none"/>
          <w:lang w:val="en-US" w:eastAsia="zh-CN" w:bidi="ar-SA"/>
        </w:rPr>
        <w:br w:type="page" w:clear="all"/>
      </w:r>
      <w:r/>
    </w:p>
    <w:p>
      <w:pPr>
        <w:numPr>
          <w:numId w:val="0"/>
        </w:numPr>
        <w:jc w:val="center"/>
        <w:spacing w:line="400" w:lineRule="exact"/>
        <w:rPr>
          <w:rFonts w:hint="eastAsia" w:ascii="仿宋" w:hAnsi="仿宋" w:eastAsia="仿宋" w:cs="仿宋"/>
          <w:color w:val="auto"/>
          <w:spacing w:val="0"/>
          <w:sz w:val="28"/>
          <w:szCs w:val="28"/>
          <w:highlight w:val="none"/>
          <w:lang w:val="en-US" w:eastAsia="zh-CN" w:bidi="ar-SA"/>
        </w:rPr>
      </w:pPr>
      <w:r>
        <w:rPr>
          <w:rFonts w:hint="eastAsia" w:ascii="仿宋" w:hAnsi="仿宋" w:eastAsia="仿宋" w:cs="仿宋"/>
          <w:color w:val="auto"/>
          <w:spacing w:val="0"/>
          <w:sz w:val="28"/>
          <w:szCs w:val="28"/>
          <w:highlight w:val="none"/>
          <w:lang w:val="en-US" w:eastAsia="zh-CN" w:bidi="ar-SA"/>
        </w:rPr>
      </w:r>
      <w:r/>
    </w:p>
    <w:p>
      <w:pPr>
        <w:numPr>
          <w:numId w:val="0"/>
        </w:numPr>
        <w:jc w:val="center"/>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916"/>
        <w:rPr>
          <w:rFonts w:ascii="黑体" w:hAnsi="黑体" w:eastAsia="黑体"/>
          <w:color w:val="auto"/>
          <w:sz w:val="44"/>
          <w:szCs w:val="44"/>
          <w:highlight w:val="none"/>
        </w:rPr>
      </w:pPr>
      <w:r>
        <w:rPr>
          <w:rFonts w:ascii="黑体" w:hAnsi="黑体" w:eastAsia="黑体"/>
          <w:color w:val="auto"/>
          <w:sz w:val="44"/>
          <w:szCs w:val="44"/>
          <w:highlight w:val="none"/>
        </w:rPr>
      </w:r>
      <w:r/>
    </w:p>
    <w:p>
      <w:pPr>
        <w:pStyle w:val="916"/>
        <w:rPr>
          <w:rFonts w:ascii="黑体" w:hAnsi="黑体" w:eastAsia="黑体"/>
          <w:color w:val="auto"/>
          <w:sz w:val="32"/>
          <w:highlight w:val="none"/>
        </w:rPr>
      </w:pPr>
      <w:r>
        <w:rPr>
          <w:rFonts w:ascii="黑体" w:hAnsi="黑体" w:eastAsia="黑体"/>
          <w:color w:val="auto"/>
          <w:sz w:val="32"/>
          <w:highlight w:val="none"/>
        </w:rPr>
      </w:r>
      <w:r/>
    </w:p>
    <w:p>
      <w:pPr>
        <w:pStyle w:val="916"/>
        <w:rPr>
          <w:rFonts w:ascii="黑体" w:hAnsi="黑体" w:eastAsia="黑体"/>
          <w:color w:val="auto"/>
          <w:sz w:val="32"/>
          <w:highlight w:val="none"/>
        </w:rPr>
      </w:pPr>
      <w:r>
        <w:rPr>
          <w:rFonts w:ascii="黑体" w:hAnsi="黑体" w:eastAsia="黑体"/>
          <w:color w:val="auto"/>
          <w:sz w:val="32"/>
          <w:highlight w:val="none"/>
        </w:rPr>
      </w:r>
      <w:r/>
    </w:p>
    <w:p>
      <w:pPr>
        <w:pStyle w:val="916"/>
        <w:rPr>
          <w:rFonts w:ascii="黑体" w:hAnsi="黑体" w:eastAsia="黑体"/>
          <w:color w:val="auto"/>
          <w:sz w:val="32"/>
          <w:highlight w:val="none"/>
        </w:rPr>
      </w:pPr>
      <w:r>
        <w:rPr>
          <w:rFonts w:ascii="黑体" w:hAnsi="黑体" w:eastAsia="黑体"/>
          <w:color w:val="auto"/>
          <w:sz w:val="32"/>
          <w:highlight w:val="none"/>
        </w:rPr>
      </w:r>
      <w:r/>
    </w:p>
    <w:p>
      <w:pPr>
        <w:pStyle w:val="916"/>
        <w:rPr>
          <w:rFonts w:ascii="黑体" w:hAnsi="黑体" w:eastAsia="黑体"/>
          <w:color w:val="auto"/>
          <w:sz w:val="32"/>
          <w:highlight w:val="none"/>
        </w:rPr>
      </w:pPr>
      <w:r>
        <w:rPr>
          <w:rFonts w:ascii="黑体" w:hAnsi="黑体" w:eastAsia="黑体"/>
          <w:color w:val="auto"/>
          <w:sz w:val="32"/>
          <w:highlight w:val="none"/>
        </w:rPr>
      </w:r>
      <w:r/>
    </w:p>
    <w:p>
      <w:pPr>
        <w:ind w:firstLine="1084"/>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项 目 名 称:</w:t>
      </w:r>
      <w:r/>
    </w:p>
    <w:p>
      <w:pPr>
        <w:pStyle w:val="916"/>
        <w:rPr>
          <w:rFonts w:ascii="黑体" w:hAnsi="黑体" w:eastAsia="黑体"/>
          <w:color w:val="auto"/>
          <w:sz w:val="32"/>
          <w:highlight w:val="none"/>
        </w:rPr>
      </w:pPr>
      <w:r>
        <w:rPr>
          <w:rFonts w:ascii="黑体" w:hAnsi="黑体" w:eastAsia="黑体"/>
          <w:color w:val="auto"/>
          <w:sz w:val="32"/>
          <w:highlight w:val="none"/>
        </w:rPr>
      </w:r>
      <w:r/>
    </w:p>
    <w:p>
      <w:pPr>
        <w:pStyle w:val="91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16"/>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16"/>
        <w:ind w:firstLine="1066"/>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招 标 编 号:</w:t>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ind w:firstLine="1066"/>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投标人名称:（加盖CA电子公章）</w:t>
      </w:r>
      <w:r/>
    </w:p>
    <w:p>
      <w:pPr>
        <w:ind w:firstLine="1066"/>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    </w:t>
      </w:r>
      <w:r/>
    </w:p>
    <w:p>
      <w:pPr>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066"/>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日       期：</w:t>
      </w:r>
      <w:r/>
    </w:p>
    <w:p>
      <w:pPr>
        <w:pStyle w:val="916"/>
        <w:ind w:firstLine="1904"/>
        <w:rPr>
          <w:rFonts w:ascii="黑体" w:hAnsi="黑体" w:eastAsia="黑体"/>
          <w:color w:val="auto"/>
          <w:sz w:val="32"/>
          <w:highlight w:val="none"/>
        </w:rPr>
      </w:pPr>
      <w:r>
        <w:rPr>
          <w:rFonts w:ascii="黑体" w:hAnsi="黑体" w:eastAsia="黑体"/>
          <w:color w:val="auto"/>
          <w:sz w:val="32"/>
          <w:highlight w:val="none"/>
        </w:rPr>
      </w:r>
      <w:r/>
    </w:p>
    <w:p>
      <w:pPr>
        <w:pStyle w:val="916"/>
        <w:ind w:firstLine="1904"/>
        <w:rPr>
          <w:rFonts w:ascii="黑体" w:hAnsi="黑体" w:eastAsia="黑体"/>
          <w:color w:val="auto"/>
          <w:sz w:val="32"/>
          <w:highlight w:val="none"/>
        </w:rPr>
      </w:pPr>
      <w:r>
        <w:rPr>
          <w:rFonts w:ascii="黑体" w:hAnsi="黑体" w:eastAsia="黑体"/>
          <w:color w:val="auto"/>
          <w:sz w:val="32"/>
          <w:highlight w:val="none"/>
        </w:rPr>
      </w:r>
      <w:r/>
    </w:p>
    <w:p>
      <w:pPr>
        <w:pStyle w:val="916"/>
        <w:ind w:firstLine="1904"/>
        <w:rPr>
          <w:rFonts w:ascii="黑体" w:hAnsi="黑体" w:eastAsia="黑体"/>
          <w:color w:val="auto"/>
          <w:sz w:val="32"/>
          <w:highlight w:val="none"/>
        </w:rPr>
      </w:pPr>
      <w:r>
        <w:rPr>
          <w:rFonts w:ascii="黑体" w:hAnsi="黑体" w:eastAsia="黑体"/>
          <w:color w:val="auto"/>
          <w:sz w:val="32"/>
          <w:highlight w:val="none"/>
        </w:rPr>
      </w:r>
      <w:r/>
    </w:p>
    <w:p>
      <w:pPr>
        <w:pStyle w:val="916"/>
        <w:ind w:firstLine="1904"/>
        <w:rPr>
          <w:rFonts w:ascii="黑体" w:hAnsi="黑体" w:eastAsia="黑体"/>
          <w:color w:val="auto"/>
          <w:sz w:val="32"/>
          <w:highlight w:val="none"/>
        </w:rPr>
      </w:pPr>
      <w:r>
        <w:rPr>
          <w:rFonts w:ascii="黑体" w:hAnsi="黑体" w:eastAsia="黑体"/>
          <w:color w:val="auto"/>
          <w:sz w:val="32"/>
          <w:highlight w:val="none"/>
        </w:rPr>
      </w:r>
      <w:r/>
    </w:p>
    <w:p>
      <w:pPr>
        <w:pStyle w:val="916"/>
        <w:ind w:firstLine="1904"/>
        <w:rPr>
          <w:rFonts w:ascii="黑体" w:hAnsi="黑体" w:eastAsia="黑体"/>
          <w:color w:val="auto"/>
          <w:sz w:val="32"/>
          <w:highlight w:val="none"/>
        </w:rPr>
      </w:pPr>
      <w:r>
        <w:rPr>
          <w:rFonts w:ascii="黑体" w:hAnsi="黑体" w:eastAsia="黑体"/>
          <w:color w:val="auto"/>
          <w:sz w:val="32"/>
          <w:highlight w:val="none"/>
        </w:rPr>
      </w:r>
      <w:r/>
    </w:p>
    <w:p>
      <w:pPr>
        <w:pStyle w:val="916"/>
        <w:ind w:firstLine="1904"/>
        <w:rPr>
          <w:rFonts w:ascii="黑体" w:hAnsi="黑体" w:eastAsia="黑体"/>
          <w:color w:val="auto"/>
          <w:sz w:val="32"/>
          <w:highlight w:val="none"/>
        </w:rPr>
      </w:pPr>
      <w:r>
        <w:rPr>
          <w:rFonts w:ascii="黑体" w:hAnsi="黑体" w:eastAsia="黑体"/>
          <w:color w:val="auto"/>
          <w:sz w:val="32"/>
          <w:highlight w:val="none"/>
        </w:rPr>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916"/>
        <w:ind w:firstLine="2875"/>
        <w:spacing w:line="6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pStyle w:val="916"/>
        <w:spacing w:line="640" w:lineRule="exact"/>
        <w:rPr>
          <w:rFonts w:ascii="仿宋" w:hAnsi="仿宋" w:eastAsia="仿宋"/>
          <w:color w:val="auto"/>
          <w:sz w:val="28"/>
          <w:szCs w:val="24"/>
          <w:highlight w:val="none"/>
        </w:rPr>
      </w:pPr>
      <w:r>
        <w:rPr>
          <w:rFonts w:hint="eastAsia" w:ascii="仿宋" w:hAnsi="仿宋" w:eastAsia="仿宋" w:cs="Times New Roman"/>
          <w:color w:val="auto"/>
          <w:sz w:val="28"/>
          <w:szCs w:val="28"/>
          <w:highlight w:val="none"/>
          <w:lang w:eastAsia="zh-CN"/>
        </w:rPr>
        <w:t xml:space="preserve">淮安市医疗保障局</w:t>
      </w:r>
      <w:r>
        <w:rPr>
          <w:rFonts w:hint="eastAsia" w:ascii="仿宋" w:hAnsi="仿宋" w:eastAsia="仿宋"/>
          <w:color w:val="auto"/>
          <w:sz w:val="28"/>
          <w:szCs w:val="24"/>
          <w:highlight w:val="none"/>
        </w:rPr>
        <w:t xml:space="preserve">:</w:t>
      </w:r>
      <w:r/>
    </w:p>
    <w:p>
      <w:pPr>
        <w:pStyle w:val="967"/>
        <w:ind w:firstLine="70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spacing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6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3、我们接受招标文件的所有的条款和规定。</w:t>
      </w:r>
      <w:r/>
    </w:p>
    <w:p>
      <w:pPr>
        <w:pStyle w:val="96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6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96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6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67"/>
        <w:ind w:right="560" w:firstLine="2940"/>
        <w:spacing w:before="0" w:after="0" w:line="640" w:lineRule="exact"/>
        <w:rPr>
          <w:rFonts w:ascii="仿宋" w:hAnsi="仿宋" w:eastAsia="仿宋"/>
          <w:color w:val="auto"/>
          <w:sz w:val="28"/>
          <w:highlight w:val="none"/>
        </w:rPr>
      </w:pPr>
      <w:r>
        <w:rPr>
          <w:rFonts w:ascii="仿宋" w:hAnsi="仿宋" w:eastAsia="仿宋"/>
          <w:color w:val="auto"/>
          <w:sz w:val="28"/>
          <w:highlight w:val="none"/>
        </w:rPr>
      </w:r>
      <w:r/>
    </w:p>
    <w:p>
      <w:pPr>
        <w:pStyle w:val="967"/>
        <w:ind w:right="560" w:firstLine="2940"/>
        <w:spacing w:before="0" w:after="0" w:line="64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67"/>
        <w:ind w:right="560" w:firstLine="294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16"/>
        <w:ind w:right="560" w:firstLine="420"/>
        <w:jc w:val="center"/>
        <w:spacing w:line="6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before="19" w:line="440" w:lineRule="exact"/>
        <w:widowControl/>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3036"/>
        <w:spacing w:before="19" w:line="440" w:lineRule="exact"/>
        <w:widowControl/>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tbl>
      <w:tblPr>
        <w:tblStyle w:val="700"/>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spacing w:line="7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bl>
    <w:p>
      <w:pPr>
        <w:ind w:firstLine="411"/>
        <w:spacing w:line="440" w:lineRule="exact"/>
        <w:rPr>
          <w:rFonts w:ascii="仿宋" w:hAnsi="仿宋" w:eastAsia="仿宋"/>
          <w:color w:val="auto"/>
          <w:sz w:val="28"/>
          <w:szCs w:val="28"/>
          <w:highlight w:val="none"/>
        </w:rPr>
      </w:pPr>
      <w:r/>
      <w:bookmarkStart w:id="49" w:name="_Toc157775459"/>
      <w:r/>
      <w:bookmarkStart w:id="50" w:name="_Toc136924766"/>
      <w:r/>
      <w:bookmarkEnd w:id="49"/>
      <w:r/>
      <w:bookmarkEnd w:id="50"/>
      <w:r/>
      <w:r/>
    </w:p>
    <w:p>
      <w:pPr>
        <w:ind w:firstLine="411"/>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6"/>
        <w:ind w:firstLine="2875"/>
        <w:rPr>
          <w:rFonts w:hAnsi="宋体"/>
          <w:b/>
          <w:color w:val="auto"/>
          <w:sz w:val="32"/>
          <w:szCs w:val="32"/>
          <w:highlight w:val="none"/>
        </w:rPr>
      </w:pPr>
      <w:r/>
      <w:bookmarkStart w:id="51" w:name="_Toc157775468"/>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ind w:firstLine="2875"/>
        <w:rPr>
          <w:rFonts w:hAnsi="宋体"/>
          <w:b/>
          <w:color w:val="auto"/>
          <w:sz w:val="32"/>
          <w:szCs w:val="32"/>
          <w:highlight w:val="none"/>
        </w:rPr>
      </w:pPr>
      <w:r>
        <w:rPr>
          <w:rFonts w:hAnsi="宋体"/>
          <w:b/>
          <w:color w:val="auto"/>
          <w:sz w:val="32"/>
          <w:szCs w:val="32"/>
          <w:highlight w:val="none"/>
        </w:rPr>
      </w:r>
      <w:r/>
    </w:p>
    <w:p>
      <w:pPr>
        <w:pStyle w:val="916"/>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916"/>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916"/>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709"/>
        <w:jc w:val="center"/>
        <w:rPr>
          <w:rFonts w:hint="eastAsia" w:ascii="仿宋" w:hAnsi="仿宋" w:eastAsia="仿宋" w:cs="仿宋"/>
          <w:b/>
          <w:color w:val="auto"/>
          <w:sz w:val="32"/>
          <w:szCs w:val="32"/>
          <w:highlight w:val="none"/>
        </w:rPr>
      </w:pPr>
      <w:r>
        <w:rPr>
          <w:rFonts w:hint="eastAsia" w:ascii="仿宋" w:hAnsi="仿宋" w:eastAsia="仿宋"/>
          <w:b/>
          <w:color w:val="auto"/>
          <w:sz w:val="32"/>
          <w:szCs w:val="32"/>
          <w:highlight w:val="none"/>
        </w:rPr>
        <w:t xml:space="preserve">三、</w:t>
      </w:r>
      <w:r>
        <w:rPr>
          <w:rFonts w:hint="eastAsia" w:ascii="仿宋" w:hAnsi="仿宋" w:eastAsia="仿宋" w:cs="仿宋"/>
          <w:b/>
          <w:color w:val="auto"/>
          <w:sz w:val="32"/>
          <w:szCs w:val="32"/>
          <w:highlight w:val="none"/>
        </w:rPr>
        <w:t xml:space="preserve">人员配备表</w:t>
      </w:r>
      <w:r/>
    </w:p>
    <w:tbl>
      <w:tblPr>
        <w:tblStyle w:val="700"/>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jc w:val="center"/>
          <w:trHeight w:val="439"/>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学历</w:t>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专业</w:t>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相关证书</w:t>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拟任岗位</w:t>
            </w:r>
            <w:r/>
          </w:p>
        </w:tc>
      </w:tr>
      <w:tr>
        <w:trPr>
          <w:jc w:val="center"/>
          <w:trHeight w:val="790"/>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0"/>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15"/>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15"/>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15"/>
        </w:trPr>
        <w:tc>
          <w:tcPr>
            <w:tcW w:w="1268"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92"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41"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73"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939" w:type="dxa"/>
            <w:vAlign w:val="center"/>
            <w:textDirection w:val="lrTb"/>
            <w:noWrap w:val="false"/>
          </w:tcPr>
          <w:p>
            <w:pPr>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916"/>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7"/>
        <w:ind w:right="560" w:firstLine="2940"/>
        <w:spacing w:before="0" w:after="0" w:line="64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16"/>
        <w:ind w:right="560" w:firstLine="420"/>
        <w:jc w:val="center"/>
        <w:spacing w:line="6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pStyle w:val="916"/>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6"/>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916"/>
        <w:ind w:firstLine="411"/>
        <w:spacing w:line="440" w:lineRule="exact"/>
        <w:rPr>
          <w:rFonts w:ascii="仿宋" w:hAnsi="仿宋" w:eastAsia="仿宋"/>
          <w:b/>
          <w:color w:val="auto"/>
          <w:sz w:val="32"/>
          <w:highlight w:val="none"/>
        </w:rPr>
      </w:pPr>
      <w:r>
        <w:rPr>
          <w:rFonts w:ascii="仿宋" w:hAnsi="仿宋" w:eastAsia="仿宋"/>
          <w:color w:val="auto"/>
          <w:sz w:val="28"/>
          <w:szCs w:val="24"/>
          <w:highlight w:val="none"/>
        </w:rPr>
        <w:t xml:space="preserve"> </w:t>
      </w:r>
      <w:r/>
    </w:p>
    <w:p>
      <w:pPr>
        <w:pStyle w:val="709"/>
        <w:jc w:val="center"/>
        <w:rPr>
          <w:rFonts w:hint="eastAsia" w:ascii="仿宋" w:hAnsi="仿宋" w:eastAsia="仿宋" w:cs="仿宋"/>
          <w:b/>
          <w:color w:val="auto"/>
          <w:sz w:val="32"/>
          <w:szCs w:val="32"/>
          <w:highlight w:val="none"/>
        </w:rPr>
      </w:pPr>
      <w:r>
        <w:rPr>
          <w:rFonts w:hint="eastAsia" w:ascii="仿宋" w:hAnsi="仿宋" w:eastAsia="仿宋"/>
          <w:b/>
          <w:color w:val="auto"/>
          <w:sz w:val="32"/>
          <w:highlight w:val="none"/>
        </w:rPr>
        <w:t xml:space="preserve">四、</w:t>
      </w:r>
      <w:r>
        <w:rPr>
          <w:rFonts w:hint="eastAsia" w:ascii="仿宋" w:hAnsi="仿宋" w:eastAsia="仿宋" w:cs="仿宋"/>
          <w:b/>
          <w:color w:val="auto"/>
          <w:sz w:val="32"/>
          <w:szCs w:val="32"/>
          <w:highlight w:val="none"/>
        </w:rPr>
        <w:t xml:space="preserve">服务承诺</w:t>
      </w:r>
      <w:r/>
    </w:p>
    <w:p>
      <w:pPr>
        <w:pStyle w:val="914"/>
        <w:ind w:right="34" w:firstLine="560"/>
        <w:spacing w:before="120" w:line="520" w:lineRule="exact"/>
        <w:rPr>
          <w:rFonts w:ascii="宋体" w:hAnsi="宋体"/>
          <w:b/>
          <w:color w:val="auto"/>
          <w:sz w:val="32"/>
          <w:szCs w:val="32"/>
          <w:highlight w:val="none"/>
        </w:rPr>
      </w:pPr>
      <w:r>
        <w:rPr>
          <w:rFonts w:hint="eastAsia" w:ascii="仿宋" w:hAnsi="仿宋" w:eastAsia="仿宋" w:cs="仿宋"/>
          <w:color w:val="auto"/>
          <w:sz w:val="28"/>
          <w:szCs w:val="28"/>
          <w:highlight w:val="none"/>
        </w:rPr>
        <w:t xml:space="preserve">（格式由投标供应商自定、加盖投标</w:t>
      </w:r>
      <w:r>
        <w:rPr>
          <w:rFonts w:hint="eastAsia" w:ascii="仿宋" w:hAnsi="仿宋" w:eastAsia="仿宋" w:cs="仿宋"/>
          <w:color w:val="auto"/>
          <w:sz w:val="28"/>
          <w:szCs w:val="28"/>
          <w:highlight w:val="none"/>
          <w:lang w:val="en-US" w:eastAsia="zh-CN"/>
        </w:rPr>
        <w:t xml:space="preserve">人电子签章</w:t>
      </w:r>
      <w:r>
        <w:rPr>
          <w:rFonts w:hint="eastAsia" w:ascii="仿宋" w:hAnsi="仿宋" w:eastAsia="仿宋" w:cs="仿宋"/>
          <w:color w:val="auto"/>
          <w:sz w:val="28"/>
          <w:szCs w:val="28"/>
          <w:highlight w:val="none"/>
        </w:rPr>
        <w:t xml:space="preserve">。）</w:t>
      </w:r>
      <w:r/>
    </w:p>
    <w:p>
      <w:pPr>
        <w:pStyle w:val="914"/>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914"/>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bookmarkEnd w:id="51"/>
      <w:r/>
      <w:r/>
    </w:p>
    <w:p>
      <w:pPr>
        <w:pStyle w:val="914"/>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916"/>
        <w:spacing w:line="520" w:lineRule="exact"/>
        <w:rPr>
          <w:rFonts w:ascii="仿宋" w:hAnsi="仿宋" w:eastAsia="仿宋"/>
          <w:b/>
          <w:bCs/>
          <w:color w:val="auto"/>
          <w:sz w:val="32"/>
          <w:highlight w:val="none"/>
        </w:rPr>
      </w:pPr>
      <w:r>
        <w:rPr>
          <w:rFonts w:ascii="仿宋" w:hAnsi="仿宋" w:eastAsia="仿宋"/>
          <w:b/>
          <w:bCs/>
          <w:color w:val="auto"/>
          <w:sz w:val="32"/>
          <w:highlight w:val="none"/>
        </w:rPr>
      </w:r>
      <w:r/>
    </w:p>
    <w:p>
      <w:pPr>
        <w:pStyle w:val="916"/>
        <w:ind w:firstLine="948"/>
        <w:spacing w:line="520" w:lineRule="exact"/>
        <w:rPr>
          <w:rFonts w:ascii="仿宋" w:hAnsi="仿宋" w:eastAsia="仿宋"/>
          <w:b/>
          <w:bCs/>
          <w:color w:val="auto"/>
          <w:sz w:val="32"/>
          <w:szCs w:val="32"/>
          <w:highlight w:val="none"/>
        </w:rPr>
      </w:pPr>
      <w:r>
        <w:rPr>
          <w:rFonts w:hint="eastAsia" w:ascii="仿宋" w:hAnsi="仿宋" w:eastAsia="仿宋"/>
          <w:b/>
          <w:color w:val="auto"/>
          <w:sz w:val="32"/>
          <w:szCs w:val="32"/>
          <w:highlight w:val="none"/>
          <w:lang w:eastAsia="zh-CN"/>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投标人必须提供的资格证明文件</w:t>
      </w:r>
      <w:r/>
    </w:p>
    <w:p>
      <w:pPr>
        <w:pStyle w:val="916"/>
        <w:ind w:firstLine="551"/>
        <w:spacing w:line="520" w:lineRule="exact"/>
        <w:rPr>
          <w:rFonts w:ascii="仿宋" w:hAnsi="仿宋" w:eastAsia="仿宋"/>
          <w:b/>
          <w:bCs/>
          <w:color w:val="auto"/>
          <w:sz w:val="32"/>
          <w:szCs w:val="32"/>
          <w:highlight w:val="none"/>
        </w:rPr>
      </w:pPr>
      <w:r>
        <w:rPr>
          <w:rFonts w:hint="eastAsia" w:ascii="仿宋" w:hAnsi="仿宋" w:eastAsia="仿宋"/>
          <w:color w:val="auto"/>
          <w:sz w:val="28"/>
          <w:szCs w:val="28"/>
          <w:highlight w:val="none"/>
        </w:rPr>
        <w:t xml:space="preserve">1、提供下列材料之一:</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（2）投标人提供授权委托书（格式详见示范格式二）和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ascii="仿宋" w:hAnsi="仿宋" w:eastAsia="仿宋"/>
          <w:color w:val="auto"/>
          <w:sz w:val="28"/>
          <w:highlight w:val="none"/>
          <w:lang w:val="zh-CN"/>
        </w:rPr>
      </w:pPr>
      <w:r>
        <w:rPr>
          <w:rFonts w:hint="eastAsia" w:ascii="仿宋" w:hAnsi="仿宋" w:eastAsia="仿宋"/>
          <w:color w:val="auto"/>
          <w:sz w:val="28"/>
          <w:highlight w:val="none"/>
        </w:rPr>
        <w:t xml:space="preserve">2、投标人符合《中华人民共和国政府采购法》第二十二条规定的承诺函（格式详见示范格式三）；</w:t>
      </w:r>
      <w:bookmarkStart w:id="53" w:name="_GoBack"/>
      <w:r/>
      <w:bookmarkEnd w:id="53"/>
      <w:r/>
      <w:r/>
    </w:p>
    <w:p>
      <w:pPr>
        <w:ind w:firstLine="700"/>
        <w:spacing w:line="520" w:lineRule="exact"/>
        <w:rPr>
          <w:rFonts w:ascii="仿宋" w:hAnsi="仿宋" w:eastAsia="仿宋"/>
          <w:color w:val="auto"/>
          <w:sz w:val="28"/>
          <w:szCs w:val="28"/>
          <w:highlight w:val="none"/>
        </w:rPr>
      </w:pPr>
      <w:r>
        <w:rPr>
          <w:rFonts w:hint="eastAsia" w:ascii="仿宋" w:hAnsi="仿宋" w:eastAsia="仿宋"/>
          <w:color w:val="auto"/>
          <w:sz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57"/>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ind w:firstLine="1428"/>
        <w:jc w:val="left"/>
        <w:spacing w:line="520" w:lineRule="exact"/>
        <w:widowControl/>
        <w:rPr>
          <w:rFonts w:ascii="仿宋" w:hAnsi="仿宋" w:eastAsia="仿宋" w:cs="Arial"/>
          <w:b/>
          <w:bCs/>
          <w:color w:val="auto"/>
          <w:sz w:val="32"/>
          <w:highlight w:val="none"/>
        </w:rPr>
      </w:pPr>
      <w:r>
        <w:rPr>
          <w:rFonts w:ascii="宋体" w:hAnsi="宋体"/>
          <w:b/>
          <w:color w:val="auto"/>
          <w:sz w:val="36"/>
          <w:highlight w:val="none"/>
        </w:rPr>
        <w:br w:type="page" w:clear="all"/>
      </w:r>
      <w:bookmarkStart w:id="52" w:name="_Toc157775454"/>
      <w:r>
        <w:rPr>
          <w:rFonts w:hint="eastAsia" w:ascii="仿宋" w:hAnsi="仿宋" w:eastAsia="仿宋" w:cs="Arial"/>
          <w:b/>
          <w:bCs/>
          <w:color w:val="auto"/>
          <w:sz w:val="32"/>
          <w:highlight w:val="none"/>
          <w:lang w:eastAsia="zh-CN"/>
        </w:rPr>
        <w:t xml:space="preserve">六</w:t>
      </w:r>
      <w:r>
        <w:rPr>
          <w:rFonts w:hint="eastAsia" w:ascii="仿宋" w:hAnsi="仿宋" w:eastAsia="仿宋" w:cs="Arial"/>
          <w:b/>
          <w:bCs/>
          <w:color w:val="auto"/>
          <w:sz w:val="32"/>
          <w:highlight w:val="none"/>
        </w:rPr>
        <w:t xml:space="preserve">、综合评分时投标人需提供的证明文件</w:t>
      </w:r>
      <w:r/>
    </w:p>
    <w:p>
      <w:pPr>
        <w:ind w:firstLine="840"/>
        <w:spacing w:line="52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557"/>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lang w:eastAsia="zh-CN"/>
        </w:rPr>
        <w:t xml:space="preserve">七</w:t>
      </w:r>
      <w:r>
        <w:rPr>
          <w:rFonts w:hint="eastAsia" w:ascii="仿宋" w:hAnsi="仿宋" w:eastAsia="仿宋"/>
          <w:b/>
          <w:color w:val="auto"/>
          <w:sz w:val="32"/>
          <w:szCs w:val="32"/>
          <w:highlight w:val="none"/>
        </w:rPr>
        <w:t xml:space="preserve">、示范格式</w:t>
      </w:r>
      <w:r/>
    </w:p>
    <w:p>
      <w:pPr>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52"/>
      <w:r/>
      <w:r/>
    </w:p>
    <w:p>
      <w:pPr>
        <w:ind w:firstLine="2570"/>
        <w:spacing w:line="440" w:lineRule="exact"/>
        <w:rPr>
          <w:rFonts w:ascii="仿宋" w:hAnsi="仿宋" w:eastAsia="仿宋" w:cs="Arial"/>
          <w:b/>
          <w:bCs/>
          <w:color w:val="auto"/>
          <w:sz w:val="32"/>
          <w:highlight w:val="none"/>
        </w:rPr>
      </w:pPr>
      <w:r>
        <w:rPr>
          <w:rFonts w:ascii="仿宋" w:hAnsi="仿宋" w:eastAsia="仿宋" w:cs="Arial"/>
          <w:b/>
          <w:bCs/>
          <w:color w:val="auto"/>
          <w:sz w:val="32"/>
          <w:highlight w:val="none"/>
        </w:rPr>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67"/>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ind w:left="-359" w:firstLine="357"/>
        <w:spacing w:line="640" w:lineRule="exact"/>
        <w:rPr>
          <w:rFonts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cs="Times New Roman"/>
          <w:color w:val="auto"/>
          <w:sz w:val="28"/>
          <w:szCs w:val="28"/>
          <w:highlight w:val="none"/>
          <w:lang w:eastAsia="zh-CN"/>
        </w:rPr>
        <w:t xml:space="preserve">淮安市医疗保障局</w:t>
      </w:r>
      <w:r>
        <w:rPr>
          <w:rFonts w:hint="eastAsia" w:ascii="仿宋" w:hAnsi="仿宋" w:eastAsia="仿宋"/>
          <w:bCs/>
          <w:color w:val="auto"/>
          <w:sz w:val="30"/>
          <w:szCs w:val="28"/>
          <w:highlight w:val="none"/>
        </w:rPr>
        <w:t xml:space="preserve">:</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淮安江益工程项目管理咨询有限公司</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ascii="仿宋" w:hAnsi="仿宋" w:eastAsia="仿宋"/>
          <w:bCs/>
          <w:color w:val="auto"/>
          <w:sz w:val="28"/>
          <w:highlight w:val="none"/>
        </w:rPr>
      </w:pPr>
      <w:r>
        <w:rPr>
          <w:rFonts w:ascii="仿宋" w:hAnsi="仿宋" w:eastAsia="仿宋"/>
          <w:bCs/>
          <w:color w:val="auto"/>
          <w:sz w:val="28"/>
          <w:highlight w:val="none"/>
        </w:rPr>
      </w:r>
      <w:r/>
    </w:p>
    <w:p>
      <w:pPr>
        <w:ind w:firstLine="560"/>
        <w:spacing w:line="520" w:lineRule="exact"/>
        <w:rPr>
          <w:rFonts w:ascii="仿宋" w:hAnsi="仿宋" w:eastAsia="仿宋"/>
          <w:color w:val="auto"/>
          <w:sz w:val="28"/>
          <w:szCs w:val="28"/>
          <w:highlight w:val="none"/>
        </w:rPr>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jc w:val="center"/>
        <w:spacing w:line="520" w:lineRule="exact"/>
        <w:rPr>
          <w:rFonts w:ascii="仿宋" w:hAnsi="仿宋" w:eastAsia="仿宋"/>
          <w:b/>
          <w:bCs/>
          <w:color w:val="auto"/>
          <w:sz w:val="32"/>
          <w:highlight w:val="none"/>
        </w:rPr>
      </w:pPr>
      <w:r>
        <w:rPr>
          <w:rFonts w:hint="eastAsia" w:ascii="仿宋" w:hAnsi="仿宋" w:eastAsia="仿宋"/>
          <w:b/>
          <w:bCs/>
          <w:color w:val="auto"/>
          <w:sz w:val="32"/>
          <w:highlight w:val="none"/>
        </w:rPr>
        <w:t xml:space="preserve">符合《</w:t>
      </w:r>
      <w:r>
        <w:rPr>
          <w:rFonts w:ascii="FangSong" w:hAnsi="FangSong" w:eastAsia="FangSong" w:cs="FangSong"/>
          <w:b/>
          <w:bCs/>
          <w:color w:val="000000"/>
          <w:sz w:val="32"/>
          <w:szCs w:val="32"/>
        </w:rPr>
        <w:t xml:space="preserve">中华人民共和国政府采购法</w:t>
      </w:r>
      <w:r>
        <w:rPr>
          <w:rFonts w:hint="eastAsia" w:ascii="仿宋" w:hAnsi="仿宋" w:eastAsia="仿宋"/>
          <w:b/>
          <w:bCs/>
          <w:color w:val="auto"/>
          <w:sz w:val="32"/>
          <w:highlight w:val="none"/>
        </w:rPr>
        <w:t xml:space="preserve">》第二十二条规定条件的声明函</w:t>
      </w:r>
      <w:r/>
    </w:p>
    <w:p>
      <w:pPr>
        <w:pStyle w:val="905"/>
        <w:ind w:firstLine="0"/>
        <w:spacing w:line="7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s="Times New Roman"/>
          <w:color w:val="auto"/>
          <w:sz w:val="28"/>
          <w:szCs w:val="28"/>
          <w:highlight w:val="none"/>
          <w:lang w:eastAsia="zh-CN"/>
        </w:rPr>
        <w:t xml:space="preserve">淮安市医疗保障局</w:t>
      </w:r>
      <w:r>
        <w:rPr>
          <w:rFonts w:hint="eastAsia" w:ascii="仿宋" w:hAnsi="仿宋" w:eastAsia="仿宋"/>
          <w:bCs/>
          <w:color w:val="auto"/>
          <w:sz w:val="28"/>
          <w:szCs w:val="28"/>
          <w:highlight w:val="none"/>
        </w:rPr>
        <w:t xml:space="preserve">:</w:t>
      </w:r>
      <w:r/>
    </w:p>
    <w:p>
      <w:pPr>
        <w:ind w:firstLine="84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w:t>
      </w:r>
      <w:r>
        <w:rPr>
          <w:rFonts w:hint="eastAsia" w:ascii="仿宋" w:hAnsi="仿宋" w:eastAsia="仿宋"/>
          <w:color w:val="auto"/>
          <w:sz w:val="28"/>
          <w:szCs w:val="28"/>
          <w:highlight w:val="none"/>
        </w:rPr>
        <w:t xml:space="preserve">贵中心组织实施</w:t>
      </w:r>
      <w:r>
        <w:rPr>
          <w:rFonts w:hint="eastAsia" w:ascii="仿宋" w:hAnsi="仿宋" w:eastAsia="仿宋"/>
          <w:color w:val="auto"/>
          <w:sz w:val="28"/>
          <w:szCs w:val="28"/>
          <w:highlight w:val="none"/>
        </w:rPr>
        <w:t xml:space="preserve">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参加本次政府采购活动前三年内，我公司在经营活动中没有因违法经营受到刑事处罚或者责令停产停业、吊销许可证或者执照、罚款等行政处罚。</w:t>
      </w:r>
      <w:r>
        <w:rPr>
          <w:rFonts w:ascii="仿宋" w:hAnsi="仿宋" w:eastAsia="仿宋" w:cs="仿宋"/>
          <w:color w:val="auto"/>
          <w:sz w:val="28"/>
          <w:szCs w:val="28"/>
          <w:highlight w:val="none"/>
        </w:rPr>
        <w:t xml:space="preserve"> </w:t>
      </w:r>
      <w:r/>
    </w:p>
    <w:p>
      <w:pPr>
        <w:ind w:firstLine="63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pStyle w:val="905"/>
        <w:ind w:firstLine="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s="Times New Roman"/>
          <w:color w:val="auto"/>
          <w:sz w:val="28"/>
          <w:szCs w:val="28"/>
          <w:highlight w:val="none"/>
          <w:lang w:eastAsia="zh-CN"/>
        </w:rPr>
        <w:t xml:space="preserve">淮安市医疗保障局</w:t>
      </w:r>
      <w:r>
        <w:rPr>
          <w:rFonts w:hint="eastAsia" w:ascii="仿宋" w:hAnsi="仿宋" w:eastAsia="仿宋"/>
          <w:bCs/>
          <w:color w:val="auto"/>
          <w:sz w:val="28"/>
          <w:szCs w:val="28"/>
          <w:highlight w:val="none"/>
        </w:rPr>
        <w:t xml:space="preserve">:</w:t>
      </w:r>
      <w:r/>
    </w:p>
    <w:p>
      <w:pPr>
        <w:pStyle w:val="702"/>
        <w:ind w:firstLine="560"/>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02"/>
        <w:ind w:firstLine="560"/>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，属于（采购文件中明确的所属行业）；承接企业为（企业名称），从业人员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（中型企业、小型企业、微型企业）</w:t>
      </w:r>
      <w:r>
        <w:rPr>
          <w:rFonts w:hint="eastAsia" w:ascii="仿宋" w:hAnsi="仿宋" w:eastAsia="仿宋" w:cs="仿宋"/>
          <w:bCs/>
          <w:color w:val="auto"/>
          <w:sz w:val="28"/>
          <w:szCs w:val="28"/>
          <w:highlight w:val="none"/>
        </w:rPr>
        <w:t xml:space="preserve">； </w:t>
      </w:r>
      <w:r/>
    </w:p>
    <w:p>
      <w:pPr>
        <w:pStyle w:val="702"/>
        <w:ind w:firstLine="560"/>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（标的名称） </w:t>
      </w:r>
      <w:r>
        <w:rPr>
          <w:rFonts w:hint="eastAsia" w:ascii="仿宋" w:hAnsi="仿宋" w:eastAsia="仿宋" w:cs="仿宋"/>
          <w:bCs/>
          <w:color w:val="auto"/>
          <w:sz w:val="28"/>
          <w:szCs w:val="28"/>
          <w:highlight w:val="none"/>
        </w:rPr>
        <w:t xml:space="preserve">，属于（采购文件中明确的所属行业）；承接企业为（企业名称），从业人员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（中型企业、小型企业、微型企业）</w:t>
      </w:r>
      <w:r>
        <w:rPr>
          <w:rFonts w:hint="eastAsia" w:ascii="仿宋" w:hAnsi="仿宋" w:eastAsia="仿宋" w:cs="仿宋"/>
          <w:bCs/>
          <w:color w:val="auto"/>
          <w:sz w:val="28"/>
          <w:szCs w:val="28"/>
          <w:highlight w:val="none"/>
        </w:rPr>
        <w:t xml:space="preserve">； </w:t>
      </w:r>
      <w:r/>
    </w:p>
    <w:p>
      <w:pPr>
        <w:pStyle w:val="702"/>
        <w:ind w:firstLine="560"/>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702"/>
        <w:ind w:firstLine="560"/>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仿宋"/>
          <w:bCs/>
          <w:color w:val="auto"/>
          <w:sz w:val="28"/>
          <w:szCs w:val="28"/>
          <w:highlight w:val="none"/>
        </w:rPr>
        <w:t xml:space="preserve">本企业对上述声明内容的真实性负责。如有虚假，将依法承担相应责任。</w:t>
      </w: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05"/>
        <w:ind w:firstLine="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905"/>
        <w:ind w:firstLine="0"/>
        <w:spacing w:line="600" w:lineRule="exact"/>
        <w:rPr>
          <w:rFonts w:ascii="仿宋" w:hAnsi="仿宋" w:eastAsia="仿宋"/>
          <w:bCs/>
          <w:color w:val="auto"/>
          <w:sz w:val="24"/>
          <w:szCs w:val="24"/>
          <w:highlight w:val="none"/>
        </w:rPr>
      </w:pPr>
      <w:r>
        <w:rPr>
          <w:rFonts w:ascii="仿宋" w:hAnsi="仿宋" w:eastAsia="仿宋"/>
          <w:bCs/>
          <w:color w:val="auto"/>
          <w:sz w:val="24"/>
          <w:szCs w:val="24"/>
          <w:highlight w:val="none"/>
        </w:rPr>
      </w:r>
      <w:r/>
    </w:p>
    <w:p>
      <w:pPr>
        <w:pStyle w:val="905"/>
        <w:ind w:firstLine="0"/>
        <w:jc w:val="left"/>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05"/>
        <w:ind w:firstLine="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s="Times New Roman"/>
          <w:color w:val="auto"/>
          <w:sz w:val="28"/>
          <w:szCs w:val="28"/>
          <w:highlight w:val="none"/>
          <w:lang w:eastAsia="zh-CN"/>
        </w:rPr>
        <w:t xml:space="preserve">淮安市医疗保障局</w:t>
      </w:r>
      <w:r>
        <w:rPr>
          <w:rFonts w:hint="eastAsia" w:ascii="仿宋" w:hAnsi="仿宋" w:eastAsia="仿宋"/>
          <w:bCs/>
          <w:color w:val="auto"/>
          <w:sz w:val="28"/>
          <w:szCs w:val="28"/>
          <w:highlight w:val="none"/>
        </w:rPr>
        <w:t xml:space="preserve">:</w:t>
      </w:r>
      <w:r/>
    </w:p>
    <w:p>
      <w:pPr>
        <w:pStyle w:val="905"/>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5"/>
        <w:ind w:firstLine="560"/>
        <w:spacing w:line="64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05"/>
        <w:ind w:firstLine="560"/>
        <w:spacing w:line="64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05"/>
        <w:ind w:firstLine="560"/>
        <w:spacing w:line="640" w:lineRule="exact"/>
        <w:rPr>
          <w:rFonts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05"/>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K">
    <w:panose1 w:val="020B0503020202020204"/>
  </w:font>
  <w:font w:name="Arial Unicode MS">
    <w:panose1 w:val="020B0604020202020204"/>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仿宋">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41</w:t>
    </w:r>
    <w:r>
      <w:fldChar w:fldCharType="end"/>
    </w:r>
    <w:r/>
  </w:p>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5"/>
      </w:rPr>
      <w:framePr w:wrap="around" w:vAnchor="text" w:hAnchor="margin" w:xAlign="center" w:y="1"/>
    </w:pPr>
    <w:r>
      <w:fldChar w:fldCharType="begin"/>
    </w:r>
    <w:r>
      <w:rPr>
        <w:rStyle w:val="935"/>
      </w:rPr>
      <w:instrText xml:space="preserve">PAGE  </w:instrTex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968"/>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Thousand"/>
      <w:pStyle w:val="98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0">
    <w:name w:val="Heading 1"/>
    <w:basedOn w:val="689"/>
    <w:next w:val="689"/>
    <w:link w:val="748"/>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49"/>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50"/>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51"/>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52"/>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link w:val="753"/>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55"/>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56"/>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spacing w:after="57"/>
    </w:pPr>
  </w:style>
  <w:style w:type="paragraph" w:styleId="702">
    <w:name w:val="Normal Indent"/>
    <w:basedOn w:val="689"/>
    <w:uiPriority w:val="0"/>
    <w:qFormat/>
    <w:pPr>
      <w:ind w:firstLine="420"/>
    </w:pPr>
    <w:rPr>
      <w:rFonts w:ascii="Calibri" w:hAnsi="Calibri" w:eastAsia="宋体" w:cs="Times New Roman"/>
    </w:r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semiHidden/>
    <w:unhideWhenUsed/>
    <w:qFormat/>
    <w:pPr>
      <w:jc w:val="left"/>
    </w:pPr>
  </w:style>
  <w:style w:type="paragraph" w:styleId="705">
    <w:name w:val="Body Text"/>
    <w:basedOn w:val="689"/>
    <w:uiPriority w:val="0"/>
    <w:semiHidden/>
    <w:qFormat/>
    <w:rPr>
      <w:rFonts w:ascii="仿宋" w:hAnsi="仿宋" w:eastAsia="仿宋" w:cs="Times New Roman"/>
      <w:sz w:val="31"/>
      <w:szCs w:val="31"/>
    </w:rPr>
  </w:style>
  <w:style w:type="paragraph" w:styleId="706">
    <w:name w:val="Body Text Indent"/>
    <w:basedOn w:val="689"/>
    <w:uiPriority w:val="99"/>
    <w:unhideWhenUsed/>
    <w:pPr>
      <w:ind w:left="420"/>
      <w:spacing w:after="120"/>
    </w:pPr>
    <w:rPr>
      <w:rFonts w:cs="Times New Roman"/>
    </w:rPr>
  </w:style>
  <w:style w:type="paragraph" w:styleId="707">
    <w:name w:val="toc 5"/>
    <w:basedOn w:val="689"/>
    <w:next w:val="689"/>
    <w:uiPriority w:val="39"/>
    <w:unhideWhenUsed/>
    <w:qFormat/>
    <w:pPr>
      <w:ind w:left="1134"/>
      <w:spacing w:after="57"/>
    </w:pPr>
  </w:style>
  <w:style w:type="paragraph" w:styleId="708">
    <w:name w:val="toc 3"/>
    <w:basedOn w:val="689"/>
    <w:next w:val="689"/>
    <w:uiPriority w:val="39"/>
    <w:unhideWhenUsed/>
    <w:qFormat/>
    <w:pPr>
      <w:ind w:left="567"/>
      <w:spacing w:after="57"/>
    </w:pPr>
  </w:style>
  <w:style w:type="paragraph" w:styleId="709">
    <w:name w:val="Plain Text"/>
    <w:basedOn w:val="689"/>
    <w:uiPriority w:val="0"/>
    <w:qFormat/>
    <w:rPr>
      <w:rFonts w:ascii="宋体" w:hAnsi="Courier New"/>
      <w:szCs w:val="20"/>
    </w:rPr>
  </w:style>
  <w:style w:type="paragraph" w:styleId="710">
    <w:name w:val="toc 8"/>
    <w:basedOn w:val="689"/>
    <w:next w:val="689"/>
    <w:uiPriority w:val="39"/>
    <w:unhideWhenUsed/>
    <w:qFormat/>
    <w:pPr>
      <w:ind w:left="1984"/>
      <w:spacing w:after="57"/>
    </w:pPr>
  </w:style>
  <w:style w:type="paragraph" w:styleId="711">
    <w:name w:val="endnote text"/>
    <w:basedOn w:val="689"/>
    <w:link w:val="894"/>
    <w:uiPriority w:val="99"/>
    <w:semiHidden/>
    <w:unhideWhenUsed/>
    <w:qFormat/>
    <w:rPr>
      <w:sz w:val="20"/>
    </w:rPr>
  </w:style>
  <w:style w:type="paragraph" w:styleId="712">
    <w:name w:val="Balloon Text"/>
    <w:basedOn w:val="689"/>
    <w:link w:val="988"/>
    <w:uiPriority w:val="99"/>
    <w:semiHidden/>
    <w:unhideWhenUsed/>
    <w:qFormat/>
    <w:rPr>
      <w:sz w:val="18"/>
      <w:szCs w:val="18"/>
    </w:rPr>
  </w:style>
  <w:style w:type="paragraph" w:styleId="713">
    <w:name w:val="Footer"/>
    <w:basedOn w:val="689"/>
    <w:link w:val="767"/>
    <w:uiPriority w:val="99"/>
    <w:unhideWhenUsed/>
    <w:qFormat/>
    <w:pPr>
      <w:tabs>
        <w:tab w:val="center" w:pos="7143" w:leader="none"/>
        <w:tab w:val="right" w:pos="14287" w:leader="none"/>
      </w:tabs>
    </w:pPr>
  </w:style>
  <w:style w:type="paragraph" w:styleId="714">
    <w:name w:val="Header"/>
    <w:basedOn w:val="689"/>
    <w:link w:val="765"/>
    <w:uiPriority w:val="99"/>
    <w:unhideWhenUsed/>
    <w:qFormat/>
    <w:pPr>
      <w:tabs>
        <w:tab w:val="center" w:pos="7143" w:leader="none"/>
        <w:tab w:val="right" w:pos="14287" w:leader="none"/>
      </w:tabs>
    </w:pPr>
  </w:style>
  <w:style w:type="paragraph" w:styleId="715">
    <w:name w:val="toc 1"/>
    <w:basedOn w:val="689"/>
    <w:next w:val="689"/>
    <w:uiPriority w:val="39"/>
    <w:unhideWhenUsed/>
    <w:qFormat/>
    <w:pPr>
      <w:spacing w:after="57"/>
    </w:pPr>
  </w:style>
  <w:style w:type="paragraph" w:styleId="716">
    <w:name w:val="toc 4"/>
    <w:basedOn w:val="689"/>
    <w:next w:val="689"/>
    <w:uiPriority w:val="39"/>
    <w:unhideWhenUsed/>
    <w:qFormat/>
    <w:pPr>
      <w:ind w:left="850"/>
      <w:spacing w:after="57"/>
    </w:pPr>
  </w:style>
  <w:style w:type="paragraph" w:styleId="717">
    <w:name w:val="Subtitle"/>
    <w:basedOn w:val="689"/>
    <w:next w:val="689"/>
    <w:link w:val="760"/>
    <w:uiPriority w:val="11"/>
    <w:qFormat/>
    <w:pPr>
      <w:spacing w:before="200" w:after="200"/>
    </w:pPr>
    <w:rPr>
      <w:sz w:val="24"/>
    </w:rPr>
  </w:style>
  <w:style w:type="paragraph" w:styleId="718">
    <w:name w:val="footnote text"/>
    <w:basedOn w:val="689"/>
    <w:link w:val="893"/>
    <w:uiPriority w:val="99"/>
    <w:semiHidden/>
    <w:unhideWhenUsed/>
    <w:qFormat/>
    <w:pPr>
      <w:spacing w:after="40"/>
    </w:pPr>
    <w:rPr>
      <w:sz w:val="18"/>
    </w:rPr>
  </w:style>
  <w:style w:type="paragraph" w:styleId="719">
    <w:name w:val="toc 6"/>
    <w:basedOn w:val="689"/>
    <w:next w:val="689"/>
    <w:uiPriority w:val="39"/>
    <w:unhideWhenUsed/>
    <w:qFormat/>
    <w:pPr>
      <w:ind w:left="1417"/>
      <w:spacing w:after="57"/>
    </w:pPr>
  </w:style>
  <w:style w:type="paragraph" w:styleId="720">
    <w:name w:val="table of figures"/>
    <w:basedOn w:val="689"/>
    <w:next w:val="689"/>
    <w:uiPriority w:val="99"/>
    <w:unhideWhenUsed/>
    <w:qFormat/>
  </w:style>
  <w:style w:type="paragraph" w:styleId="721">
    <w:name w:val="toc 2"/>
    <w:basedOn w:val="689"/>
    <w:next w:val="689"/>
    <w:uiPriority w:val="39"/>
    <w:unhideWhenUsed/>
    <w:qFormat/>
    <w:pPr>
      <w:ind w:left="283"/>
      <w:spacing w:after="57"/>
    </w:pPr>
  </w:style>
  <w:style w:type="paragraph" w:styleId="722">
    <w:name w:val="toc 9"/>
    <w:basedOn w:val="689"/>
    <w:next w:val="689"/>
    <w:uiPriority w:val="39"/>
    <w:unhideWhenUsed/>
    <w:qFormat/>
    <w:pPr>
      <w:ind w:left="2268"/>
      <w:spacing w:after="57"/>
    </w:pPr>
  </w:style>
  <w:style w:type="paragraph" w:styleId="723">
    <w:name w:val="Title"/>
    <w:basedOn w:val="689"/>
    <w:next w:val="689"/>
    <w:link w:val="759"/>
    <w:uiPriority w:val="10"/>
    <w:qFormat/>
    <w:pPr>
      <w:contextualSpacing/>
      <w:spacing w:before="300" w:after="200"/>
    </w:pPr>
    <w:rPr>
      <w:sz w:val="48"/>
      <w:szCs w:val="48"/>
    </w:rPr>
  </w:style>
  <w:style w:type="paragraph" w:styleId="724">
    <w:name w:val="Body Text First Indent 2"/>
    <w:basedOn w:val="706"/>
    <w:uiPriority w:val="99"/>
    <w:unhideWhenUsed/>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9"/>
    <w:uiPriority w:val="99"/>
    <w:semiHidden/>
    <w:unhideWhenUsed/>
    <w:qFormat/>
    <w:rPr>
      <w:sz w:val="21"/>
      <w:szCs w:val="21"/>
    </w:rPr>
  </w:style>
  <w:style w:type="character" w:styleId="729">
    <w:name w:val="footnote reference"/>
    <w:uiPriority w:val="99"/>
    <w:unhideWhenUsed/>
    <w:qFormat/>
    <w:rPr>
      <w:vertAlign w:val="superscript"/>
    </w:rPr>
  </w:style>
  <w:style w:type="character" w:styleId="730" w:customStyle="1">
    <w:name w:val="Heading 1 Char"/>
    <w:basedOn w:val="699"/>
    <w:uiPriority w:val="9"/>
    <w:qFormat/>
    <w:rPr>
      <w:rFonts w:ascii="Arial" w:hAnsi="Arial" w:eastAsia="Arial" w:cs="Arial"/>
      <w:sz w:val="40"/>
      <w:szCs w:val="40"/>
    </w:rPr>
  </w:style>
  <w:style w:type="character" w:styleId="731" w:customStyle="1">
    <w:name w:val="Heading 2 Char"/>
    <w:basedOn w:val="699"/>
    <w:uiPriority w:val="9"/>
    <w:qFormat/>
    <w:rPr>
      <w:rFonts w:ascii="Arial" w:hAnsi="Arial" w:eastAsia="Arial" w:cs="Arial"/>
      <w:sz w:val="34"/>
    </w:rPr>
  </w:style>
  <w:style w:type="character" w:styleId="732" w:customStyle="1">
    <w:name w:val="Heading 3 Char"/>
    <w:basedOn w:val="699"/>
    <w:uiPriority w:val="9"/>
    <w:rPr>
      <w:rFonts w:ascii="Arial" w:hAnsi="Arial" w:eastAsia="Arial" w:cs="Arial"/>
      <w:sz w:val="30"/>
      <w:szCs w:val="30"/>
    </w:rPr>
  </w:style>
  <w:style w:type="character" w:styleId="733" w:customStyle="1">
    <w:name w:val="Heading 4 Char"/>
    <w:basedOn w:val="699"/>
    <w:uiPriority w:val="9"/>
    <w:qFormat/>
    <w:rPr>
      <w:rFonts w:ascii="Arial" w:hAnsi="Arial" w:eastAsia="Arial" w:cs="Arial"/>
      <w:b/>
      <w:bCs/>
      <w:sz w:val="26"/>
      <w:szCs w:val="26"/>
    </w:rPr>
  </w:style>
  <w:style w:type="character" w:styleId="734" w:customStyle="1">
    <w:name w:val="Heading 5 Char"/>
    <w:basedOn w:val="699"/>
    <w:uiPriority w:val="9"/>
    <w:qFormat/>
    <w:rPr>
      <w:rFonts w:ascii="Arial" w:hAnsi="Arial" w:eastAsia="Arial" w:cs="Arial"/>
      <w:b/>
      <w:bCs/>
      <w:sz w:val="24"/>
      <w:szCs w:val="24"/>
    </w:rPr>
  </w:style>
  <w:style w:type="character" w:styleId="735" w:customStyle="1">
    <w:name w:val="Heading 6 Char"/>
    <w:basedOn w:val="699"/>
    <w:uiPriority w:val="9"/>
    <w:qFormat/>
    <w:rPr>
      <w:rFonts w:ascii="Arial" w:hAnsi="Arial" w:eastAsia="Arial" w:cs="Arial"/>
      <w:b/>
      <w:bCs/>
      <w:sz w:val="22"/>
      <w:szCs w:val="22"/>
    </w:rPr>
  </w:style>
  <w:style w:type="character" w:styleId="736" w:customStyle="1">
    <w:name w:val="Heading 7 Char"/>
    <w:basedOn w:val="699"/>
    <w:uiPriority w:val="9"/>
    <w:qFormat/>
    <w:rPr>
      <w:rFonts w:ascii="Arial" w:hAnsi="Arial" w:eastAsia="Arial" w:cs="Arial"/>
      <w:b/>
      <w:bCs/>
      <w:i/>
      <w:iCs/>
      <w:sz w:val="22"/>
      <w:szCs w:val="22"/>
    </w:rPr>
  </w:style>
  <w:style w:type="character" w:styleId="737" w:customStyle="1">
    <w:name w:val="Heading 8 Char"/>
    <w:basedOn w:val="699"/>
    <w:uiPriority w:val="9"/>
    <w:qFormat/>
    <w:rPr>
      <w:rFonts w:ascii="Arial" w:hAnsi="Arial" w:eastAsia="Arial" w:cs="Arial"/>
      <w:i/>
      <w:iCs/>
      <w:sz w:val="22"/>
      <w:szCs w:val="22"/>
    </w:rPr>
  </w:style>
  <w:style w:type="character" w:styleId="738" w:customStyle="1">
    <w:name w:val="Heading 9 Char"/>
    <w:basedOn w:val="699"/>
    <w:uiPriority w:val="9"/>
    <w:qFormat/>
    <w:rPr>
      <w:rFonts w:ascii="Arial" w:hAnsi="Arial" w:eastAsia="Arial" w:cs="Arial"/>
      <w:i/>
      <w:iCs/>
      <w:sz w:val="21"/>
      <w:szCs w:val="21"/>
    </w:rPr>
  </w:style>
  <w:style w:type="character" w:styleId="739" w:customStyle="1">
    <w:name w:val="Title Char"/>
    <w:basedOn w:val="699"/>
    <w:uiPriority w:val="10"/>
    <w:qFormat/>
    <w:rPr>
      <w:sz w:val="48"/>
      <w:szCs w:val="48"/>
    </w:rPr>
  </w:style>
  <w:style w:type="character" w:styleId="740" w:customStyle="1">
    <w:name w:val="Subtitle Char"/>
    <w:basedOn w:val="699"/>
    <w:uiPriority w:val="11"/>
    <w:qFormat/>
    <w:rPr>
      <w:sz w:val="24"/>
      <w:szCs w:val="24"/>
    </w:rPr>
  </w:style>
  <w:style w:type="character" w:styleId="741" w:customStyle="1">
    <w:name w:val="Quote Char"/>
    <w:uiPriority w:val="29"/>
    <w:rPr>
      <w:i/>
    </w:rPr>
  </w:style>
  <w:style w:type="character" w:styleId="742" w:customStyle="1">
    <w:name w:val="Intense Quote Char"/>
    <w:uiPriority w:val="30"/>
    <w:rPr>
      <w:i/>
    </w:rPr>
  </w:style>
  <w:style w:type="character" w:styleId="743" w:customStyle="1">
    <w:name w:val="Header Char"/>
    <w:basedOn w:val="699"/>
    <w:uiPriority w:val="99"/>
    <w:qFormat/>
  </w:style>
  <w:style w:type="character" w:styleId="744" w:customStyle="1">
    <w:name w:val="Caption Char"/>
    <w:uiPriority w:val="99"/>
    <w:qFormat/>
  </w:style>
  <w:style w:type="character" w:styleId="745" w:customStyle="1">
    <w:name w:val="Footnote Text Char"/>
    <w:uiPriority w:val="99"/>
    <w:qFormat/>
    <w:rPr>
      <w:sz w:val="18"/>
    </w:rPr>
  </w:style>
  <w:style w:type="character" w:styleId="746" w:customStyle="1">
    <w:name w:val="Endnote Text Char"/>
    <w:uiPriority w:val="99"/>
    <w:qFormat/>
    <w:rPr>
      <w:sz w:val="20"/>
    </w:rPr>
  </w:style>
  <w:style w:type="paragraph" w:styleId="747" w:customStyle="1">
    <w:name w:val="TOC Heading"/>
    <w:uiPriority w:val="39"/>
    <w:unhideWhenUsed/>
    <w:qFormat/>
    <w:rPr>
      <w:rFonts w:hint="default" w:ascii="Times New Roman" w:hAnsi="Times New Roman" w:eastAsia="宋体" w:cs="Times New Roman"/>
    </w:rPr>
  </w:style>
  <w:style w:type="character" w:styleId="748" w:customStyle="1">
    <w:name w:val="标题 1 Char"/>
    <w:link w:val="690"/>
    <w:uiPriority w:val="9"/>
    <w:qFormat/>
    <w:rPr>
      <w:rFonts w:ascii="Arial" w:hAnsi="Arial" w:eastAsia="Arial" w:cs="Arial"/>
      <w:sz w:val="40"/>
      <w:szCs w:val="40"/>
    </w:rPr>
  </w:style>
  <w:style w:type="character" w:styleId="749" w:customStyle="1">
    <w:name w:val="标题 2 Char1"/>
    <w:link w:val="691"/>
    <w:uiPriority w:val="9"/>
    <w:qFormat/>
    <w:rPr>
      <w:rFonts w:ascii="Arial" w:hAnsi="Arial" w:eastAsia="Arial" w:cs="Arial"/>
      <w:sz w:val="34"/>
    </w:rPr>
  </w:style>
  <w:style w:type="character" w:styleId="750" w:customStyle="1">
    <w:name w:val="标题 3 Char"/>
    <w:link w:val="692"/>
    <w:uiPriority w:val="9"/>
    <w:qFormat/>
    <w:rPr>
      <w:rFonts w:ascii="Arial" w:hAnsi="Arial" w:eastAsia="Arial" w:cs="Arial"/>
      <w:sz w:val="30"/>
      <w:szCs w:val="30"/>
    </w:rPr>
  </w:style>
  <w:style w:type="character" w:styleId="751" w:customStyle="1">
    <w:name w:val="标题 4 Char"/>
    <w:link w:val="693"/>
    <w:uiPriority w:val="9"/>
    <w:qFormat/>
    <w:rPr>
      <w:rFonts w:ascii="Arial" w:hAnsi="Arial" w:eastAsia="Arial" w:cs="Arial"/>
      <w:b/>
      <w:bCs/>
      <w:sz w:val="26"/>
      <w:szCs w:val="26"/>
    </w:rPr>
  </w:style>
  <w:style w:type="character" w:styleId="752" w:customStyle="1">
    <w:name w:val="标题 5 Char"/>
    <w:link w:val="694"/>
    <w:uiPriority w:val="9"/>
    <w:qFormat/>
    <w:rPr>
      <w:rFonts w:ascii="Arial" w:hAnsi="Arial" w:eastAsia="Arial" w:cs="Arial"/>
      <w:b/>
      <w:bCs/>
      <w:sz w:val="24"/>
      <w:szCs w:val="24"/>
    </w:rPr>
  </w:style>
  <w:style w:type="character" w:styleId="753" w:customStyle="1">
    <w:name w:val="标题 6 Char"/>
    <w:link w:val="695"/>
    <w:uiPriority w:val="9"/>
    <w:qFormat/>
    <w:rPr>
      <w:rFonts w:ascii="Arial" w:hAnsi="Arial" w:eastAsia="Arial" w:cs="Arial"/>
      <w:b/>
      <w:bCs/>
      <w:sz w:val="22"/>
      <w:szCs w:val="22"/>
    </w:rPr>
  </w:style>
  <w:style w:type="character" w:styleId="754" w:customStyle="1">
    <w:name w:val="标题 7 Char"/>
    <w:link w:val="696"/>
    <w:uiPriority w:val="9"/>
    <w:qFormat/>
    <w:rPr>
      <w:rFonts w:ascii="Arial" w:hAnsi="Arial" w:eastAsia="Arial" w:cs="Arial"/>
      <w:b/>
      <w:bCs/>
      <w:i/>
      <w:iCs/>
      <w:sz w:val="22"/>
      <w:szCs w:val="22"/>
    </w:rPr>
  </w:style>
  <w:style w:type="character" w:styleId="755" w:customStyle="1">
    <w:name w:val="标题 8 Char"/>
    <w:link w:val="697"/>
    <w:uiPriority w:val="9"/>
    <w:qFormat/>
    <w:rPr>
      <w:rFonts w:ascii="Arial" w:hAnsi="Arial" w:eastAsia="Arial" w:cs="Arial"/>
      <w:i/>
      <w:iCs/>
      <w:sz w:val="22"/>
      <w:szCs w:val="22"/>
    </w:rPr>
  </w:style>
  <w:style w:type="character" w:styleId="756" w:customStyle="1">
    <w:name w:val="标题 9 Char"/>
    <w:link w:val="698"/>
    <w:uiPriority w:val="9"/>
    <w:qFormat/>
    <w:rPr>
      <w:rFonts w:ascii="Arial" w:hAnsi="Arial" w:eastAsia="Arial" w:cs="Arial"/>
      <w:i/>
      <w:iCs/>
      <w:sz w:val="21"/>
      <w:szCs w:val="21"/>
    </w:rPr>
  </w:style>
  <w:style w:type="paragraph" w:styleId="757">
    <w:name w:val="List Paragraph"/>
    <w:basedOn w:val="689"/>
    <w:uiPriority w:val="34"/>
    <w:qFormat/>
    <w:pPr>
      <w:contextualSpacing/>
      <w:ind w:left="720"/>
    </w:pPr>
  </w:style>
  <w:style w:type="paragraph" w:styleId="758">
    <w:name w:val="No Spacing"/>
    <w:uiPriority w:val="1"/>
    <w:qFormat/>
    <w:rPr>
      <w:rFonts w:hint="default" w:ascii="Times New Roman" w:hAnsi="Times New Roman" w:eastAsia="宋体" w:cs="Times New Roman"/>
      <w:lang w:val="en-US" w:eastAsia="zh-CN" w:bidi="ar-SA"/>
    </w:rPr>
  </w:style>
  <w:style w:type="character" w:styleId="759" w:customStyle="1">
    <w:name w:val="标题 Char"/>
    <w:link w:val="723"/>
    <w:uiPriority w:val="10"/>
    <w:qFormat/>
    <w:rPr>
      <w:sz w:val="48"/>
      <w:szCs w:val="48"/>
    </w:rPr>
  </w:style>
  <w:style w:type="character" w:styleId="760" w:customStyle="1">
    <w:name w:val="副标题 Char"/>
    <w:link w:val="717"/>
    <w:uiPriority w:val="11"/>
    <w:qFormat/>
    <w:rPr>
      <w:sz w:val="24"/>
      <w:szCs w:val="24"/>
    </w:rPr>
  </w:style>
  <w:style w:type="paragraph" w:styleId="761">
    <w:name w:val="Quote"/>
    <w:basedOn w:val="689"/>
    <w:next w:val="689"/>
    <w:link w:val="762"/>
    <w:uiPriority w:val="29"/>
    <w:qFormat/>
    <w:pPr>
      <w:ind w:left="720" w:right="720"/>
    </w:pPr>
    <w:rPr>
      <w:i/>
    </w:rPr>
  </w:style>
  <w:style w:type="character" w:styleId="762" w:customStyle="1">
    <w:name w:val="引用 Char"/>
    <w:link w:val="761"/>
    <w:uiPriority w:val="29"/>
    <w:qFormat/>
    <w:rPr>
      <w:i/>
    </w:rPr>
  </w:style>
  <w:style w:type="paragraph" w:styleId="763">
    <w:name w:val="Intense Quote"/>
    <w:basedOn w:val="689"/>
    <w:next w:val="689"/>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qFormat/>
    <w:rPr>
      <w:i/>
    </w:rPr>
  </w:style>
  <w:style w:type="character" w:styleId="765" w:customStyle="1">
    <w:name w:val="页眉 Char"/>
    <w:link w:val="714"/>
    <w:uiPriority w:val="99"/>
    <w:qFormat/>
  </w:style>
  <w:style w:type="character" w:styleId="766" w:customStyle="1">
    <w:name w:val="Footer Char"/>
    <w:uiPriority w:val="99"/>
    <w:qFormat/>
  </w:style>
  <w:style w:type="character" w:styleId="767" w:customStyle="1">
    <w:name w:val="页脚 Char"/>
    <w:link w:val="713"/>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Char"/>
    <w:link w:val="718"/>
    <w:uiPriority w:val="99"/>
    <w:qFormat/>
    <w:rPr>
      <w:sz w:val="18"/>
    </w:rPr>
  </w:style>
  <w:style w:type="character" w:styleId="894" w:customStyle="1">
    <w:name w:val="尾注文本 Char"/>
    <w:link w:val="711"/>
    <w:uiPriority w:val="99"/>
    <w:qFormat/>
    <w:rPr>
      <w:sz w:val="20"/>
    </w:rPr>
  </w:style>
  <w:style w:type="paragraph" w:styleId="895" w:customStyle="1">
    <w:name w:val="TOC 标题1"/>
    <w:uiPriority w:val="39"/>
    <w:unhideWhenUsed/>
    <w:qFormat/>
    <w:rPr>
      <w:rFonts w:hint="default" w:ascii="Times New Roman" w:hAnsi="Times New Roman" w:eastAsia="宋体" w:cs="Times New Roman"/>
      <w:lang w:val="en-US" w:eastAsia="zh-CN" w:bidi="ar-SA"/>
    </w:rPr>
  </w:style>
  <w:style w:type="paragraph" w:styleId="896" w:customStyle="1">
    <w:name w:val="标题 11"/>
    <w:basedOn w:val="689"/>
    <w:next w:val="689"/>
    <w:uiPriority w:val="9"/>
    <w:qFormat/>
    <w:pPr>
      <w:keepLines/>
      <w:keepNext/>
      <w:spacing w:before="340" w:after="330" w:line="578" w:lineRule="auto"/>
      <w:outlineLvl w:val="0"/>
    </w:pPr>
    <w:rPr>
      <w:b/>
      <w:bCs/>
      <w:sz w:val="44"/>
      <w:szCs w:val="44"/>
    </w:rPr>
  </w:style>
  <w:style w:type="paragraph" w:styleId="897" w:customStyle="1">
    <w:name w:val="标题 21"/>
    <w:basedOn w:val="689"/>
    <w:next w:val="689"/>
    <w:uiPriority w:val="9"/>
    <w:qFormat/>
    <w:pPr>
      <w:keepLines/>
      <w:keepNext/>
      <w:spacing w:before="260" w:after="260" w:line="413" w:lineRule="auto"/>
      <w:outlineLvl w:val="1"/>
    </w:pPr>
    <w:rPr>
      <w:rFonts w:ascii="Arial" w:hAnsi="Arial" w:eastAsia="黑体"/>
      <w:b/>
      <w:sz w:val="32"/>
      <w:szCs w:val="20"/>
    </w:rPr>
  </w:style>
  <w:style w:type="paragraph" w:styleId="898" w:customStyle="1">
    <w:name w:val="标题 31"/>
    <w:basedOn w:val="689"/>
    <w:next w:val="689"/>
    <w:uiPriority w:val="9"/>
    <w:qFormat/>
    <w:pPr>
      <w:keepLines/>
      <w:keepNext/>
      <w:spacing w:before="260" w:after="260" w:line="413" w:lineRule="auto"/>
      <w:outlineLvl w:val="2"/>
    </w:pPr>
    <w:rPr>
      <w:rFonts w:ascii="Arial" w:hAnsi="Arial"/>
      <w:b/>
      <w:sz w:val="32"/>
      <w:szCs w:val="20"/>
    </w:rPr>
  </w:style>
  <w:style w:type="paragraph" w:styleId="899" w:customStyle="1">
    <w:name w:val="标题 41"/>
    <w:basedOn w:val="689"/>
    <w:next w:val="689"/>
    <w:link w:val="903"/>
    <w:uiPriority w:val="9"/>
    <w:qFormat/>
    <w:pPr>
      <w:keepLines/>
      <w:keepNext/>
      <w:spacing w:before="280" w:after="290" w:line="376" w:lineRule="auto"/>
      <w:outlineLvl w:val="3"/>
    </w:pPr>
    <w:rPr>
      <w:rFonts w:ascii="Cambria" w:hAnsi="Cambria"/>
      <w:b/>
      <w:bCs/>
      <w:sz w:val="28"/>
      <w:szCs w:val="28"/>
    </w:rPr>
  </w:style>
  <w:style w:type="paragraph" w:styleId="900" w:customStyle="1">
    <w:name w:val="标题 51"/>
    <w:basedOn w:val="689"/>
    <w:next w:val="689"/>
    <w:link w:val="904"/>
    <w:uiPriority w:val="9"/>
    <w:qFormat/>
    <w:pPr>
      <w:keepLines/>
      <w:keepNext/>
      <w:spacing w:before="280" w:after="290" w:line="376" w:lineRule="auto"/>
      <w:outlineLvl w:val="4"/>
    </w:pPr>
    <w:rPr>
      <w:b/>
      <w:bCs/>
      <w:sz w:val="28"/>
      <w:szCs w:val="28"/>
    </w:rPr>
  </w:style>
  <w:style w:type="character" w:styleId="901" w:customStyle="1">
    <w:name w:val="默认段落字体1"/>
    <w:uiPriority w:val="0"/>
    <w:semiHidden/>
    <w:qFormat/>
  </w:style>
  <w:style w:type="table" w:styleId="902"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03" w:customStyle="1">
    <w:name w:val="标题 4 字符"/>
    <w:link w:val="899"/>
    <w:uiPriority w:val="9"/>
    <w:qFormat/>
    <w:rPr>
      <w:rFonts w:ascii="Cambria" w:hAnsi="Cambria"/>
      <w:b/>
      <w:bCs/>
      <w:sz w:val="28"/>
      <w:szCs w:val="28"/>
    </w:rPr>
  </w:style>
  <w:style w:type="character" w:styleId="904" w:customStyle="1">
    <w:name w:val="标题 5 字符"/>
    <w:link w:val="900"/>
    <w:uiPriority w:val="9"/>
    <w:qFormat/>
    <w:rPr>
      <w:b/>
      <w:bCs/>
      <w:sz w:val="28"/>
      <w:szCs w:val="28"/>
    </w:rPr>
  </w:style>
  <w:style w:type="paragraph" w:styleId="905" w:customStyle="1">
    <w:name w:val="正文缩进1"/>
    <w:basedOn w:val="689"/>
    <w:link w:val="906"/>
    <w:uiPriority w:val="0"/>
    <w:qFormat/>
    <w:pPr>
      <w:ind w:firstLine="420"/>
    </w:pPr>
    <w:rPr>
      <w:szCs w:val="20"/>
    </w:rPr>
  </w:style>
  <w:style w:type="character" w:styleId="906" w:customStyle="1">
    <w:name w:val="正文缩进 字符"/>
    <w:link w:val="905"/>
    <w:uiPriority w:val="0"/>
    <w:qFormat/>
    <w:rPr>
      <w:sz w:val="21"/>
    </w:rPr>
  </w:style>
  <w:style w:type="paragraph" w:styleId="907" w:customStyle="1">
    <w:name w:val="题注1"/>
    <w:basedOn w:val="689"/>
    <w:next w:val="689"/>
    <w:uiPriority w:val="35"/>
    <w:qFormat/>
    <w:pPr>
      <w:jc w:val="center"/>
      <w:spacing w:before="156" w:after="156" w:line="360" w:lineRule="auto"/>
    </w:pPr>
    <w:rPr>
      <w:rFonts w:ascii="Arial" w:hAnsi="Arial" w:cs="Arial"/>
      <w:sz w:val="24"/>
      <w:szCs w:val="20"/>
    </w:rPr>
  </w:style>
  <w:style w:type="paragraph" w:styleId="908" w:customStyle="1">
    <w:name w:val="文档结构图1"/>
    <w:basedOn w:val="689"/>
    <w:uiPriority w:val="0"/>
    <w:semiHidden/>
    <w:qFormat/>
    <w:pPr>
      <w:shd w:val="clear" w:color="auto" w:fill="000080"/>
    </w:pPr>
  </w:style>
  <w:style w:type="paragraph" w:styleId="909" w:customStyle="1">
    <w:name w:val="批注文字1"/>
    <w:basedOn w:val="689"/>
    <w:link w:val="910"/>
    <w:uiPriority w:val="99"/>
    <w:unhideWhenUsed/>
    <w:qFormat/>
    <w:pPr>
      <w:jc w:val="left"/>
    </w:pPr>
  </w:style>
  <w:style w:type="character" w:styleId="910" w:customStyle="1">
    <w:name w:val="批注文字 字符"/>
    <w:link w:val="909"/>
    <w:uiPriority w:val="99"/>
    <w:qFormat/>
    <w:rPr>
      <w:sz w:val="21"/>
      <w:szCs w:val="24"/>
    </w:rPr>
  </w:style>
  <w:style w:type="paragraph" w:styleId="911" w:customStyle="1">
    <w:name w:val="正文文本 31"/>
    <w:basedOn w:val="689"/>
    <w:uiPriority w:val="0"/>
    <w:qFormat/>
    <w:rPr>
      <w:rFonts w:ascii="楷体_GB2312" w:hAnsi="Arial" w:eastAsia="楷体_GB2312" w:cs="Arial"/>
      <w:b/>
      <w:bCs/>
      <w:color w:val="000000"/>
      <w:sz w:val="24"/>
    </w:rPr>
  </w:style>
  <w:style w:type="paragraph" w:styleId="912" w:customStyle="1">
    <w:name w:val="正文文本1"/>
    <w:basedOn w:val="68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3" w:customStyle="1">
    <w:name w:val="正文文本缩进1"/>
    <w:basedOn w:val="689"/>
    <w:uiPriority w:val="0"/>
    <w:qFormat/>
    <w:pPr>
      <w:ind w:firstLine="630"/>
    </w:pPr>
    <w:rPr>
      <w:rFonts w:ascii="楷体_GB2312" w:eastAsia="楷体_GB2312"/>
      <w:sz w:val="32"/>
      <w:szCs w:val="20"/>
    </w:rPr>
  </w:style>
  <w:style w:type="paragraph" w:styleId="914" w:customStyle="1">
    <w:name w:val="文本块1"/>
    <w:basedOn w:val="689"/>
    <w:uiPriority w:val="0"/>
    <w:qFormat/>
    <w:pPr>
      <w:ind w:left="420" w:right="33"/>
      <w:jc w:val="left"/>
    </w:pPr>
    <w:rPr>
      <w:sz w:val="24"/>
      <w:szCs w:val="20"/>
    </w:rPr>
  </w:style>
  <w:style w:type="paragraph" w:styleId="915" w:customStyle="1">
    <w:name w:val="目录 31"/>
    <w:basedOn w:val="689"/>
    <w:next w:val="689"/>
    <w:uiPriority w:val="0"/>
    <w:semiHidden/>
    <w:qFormat/>
    <w:pPr>
      <w:ind w:left="840"/>
      <w:spacing w:line="300" w:lineRule="auto"/>
      <w:tabs>
        <w:tab w:val="right" w:pos="9344" w:leader="dot"/>
      </w:tabs>
    </w:pPr>
    <w:rPr>
      <w:rFonts w:ascii="Arial" w:hAnsi="Arial" w:cs="Arial"/>
      <w:szCs w:val="21"/>
    </w:rPr>
  </w:style>
  <w:style w:type="paragraph" w:styleId="916" w:customStyle="1">
    <w:name w:val="纯文本1"/>
    <w:basedOn w:val="689"/>
    <w:link w:val="917"/>
    <w:uiPriority w:val="0"/>
    <w:qFormat/>
    <w:rPr>
      <w:rFonts w:ascii="宋体" w:hAnsi="Courier New"/>
      <w:szCs w:val="20"/>
    </w:rPr>
  </w:style>
  <w:style w:type="character" w:styleId="917" w:customStyle="1">
    <w:name w:val="纯文本 字符"/>
    <w:link w:val="916"/>
    <w:uiPriority w:val="0"/>
    <w:qFormat/>
    <w:rPr>
      <w:rFonts w:ascii="宋体" w:hAnsi="Courier New" w:eastAsia="宋体"/>
      <w:sz w:val="21"/>
      <w:lang w:val="en-US" w:eastAsia="zh-CN" w:bidi="ar-SA"/>
    </w:rPr>
  </w:style>
  <w:style w:type="paragraph" w:styleId="918" w:customStyle="1">
    <w:name w:val="正文文本缩进 21"/>
    <w:basedOn w:val="689"/>
    <w:uiPriority w:val="0"/>
    <w:qFormat/>
    <w:pPr>
      <w:ind w:left="420"/>
      <w:spacing w:after="120" w:line="480" w:lineRule="auto"/>
    </w:pPr>
  </w:style>
  <w:style w:type="paragraph" w:styleId="919" w:customStyle="1">
    <w:name w:val="批注框文本1"/>
    <w:basedOn w:val="689"/>
    <w:link w:val="920"/>
    <w:uiPriority w:val="0"/>
    <w:qFormat/>
    <w:rPr>
      <w:sz w:val="18"/>
      <w:szCs w:val="18"/>
    </w:rPr>
  </w:style>
  <w:style w:type="character" w:styleId="920" w:customStyle="1">
    <w:name w:val="批注框文本 字符"/>
    <w:link w:val="919"/>
    <w:uiPriority w:val="0"/>
    <w:qFormat/>
    <w:rPr>
      <w:sz w:val="18"/>
      <w:szCs w:val="18"/>
    </w:rPr>
  </w:style>
  <w:style w:type="paragraph" w:styleId="921" w:customStyle="1">
    <w:name w:val="页脚1"/>
    <w:basedOn w:val="689"/>
    <w:link w:val="922"/>
    <w:uiPriority w:val="0"/>
    <w:qFormat/>
    <w:pPr>
      <w:jc w:val="left"/>
      <w:tabs>
        <w:tab w:val="center" w:pos="4153" w:leader="none"/>
        <w:tab w:val="right" w:pos="8306" w:leader="none"/>
      </w:tabs>
    </w:pPr>
    <w:rPr>
      <w:sz w:val="18"/>
      <w:szCs w:val="18"/>
    </w:rPr>
  </w:style>
  <w:style w:type="character" w:styleId="922" w:customStyle="1">
    <w:name w:val="页脚 字符"/>
    <w:link w:val="921"/>
    <w:uiPriority w:val="0"/>
    <w:qFormat/>
    <w:rPr>
      <w:sz w:val="18"/>
      <w:szCs w:val="18"/>
    </w:rPr>
  </w:style>
  <w:style w:type="paragraph" w:styleId="923" w:customStyle="1">
    <w:name w:val="页眉1"/>
    <w:basedOn w:val="689"/>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字符"/>
    <w:link w:val="923"/>
    <w:uiPriority w:val="0"/>
    <w:qFormat/>
    <w:rPr>
      <w:sz w:val="18"/>
      <w:szCs w:val="18"/>
    </w:rPr>
  </w:style>
  <w:style w:type="paragraph" w:styleId="925" w:customStyle="1">
    <w:name w:val="目录 11"/>
    <w:basedOn w:val="689"/>
    <w:next w:val="689"/>
    <w:uiPriority w:val="0"/>
    <w:semiHidden/>
    <w:qFormat/>
  </w:style>
  <w:style w:type="paragraph" w:styleId="926" w:customStyle="1">
    <w:name w:val="正文文本缩进 31"/>
    <w:basedOn w:val="689"/>
    <w:uiPriority w:val="99"/>
    <w:qFormat/>
    <w:pPr>
      <w:ind w:firstLine="420"/>
    </w:pPr>
    <w:rPr>
      <w:rFonts w:eastAsia="楷体_GB2312"/>
    </w:rPr>
  </w:style>
  <w:style w:type="paragraph" w:styleId="927" w:customStyle="1">
    <w:name w:val="目录 21"/>
    <w:basedOn w:val="689"/>
    <w:next w:val="689"/>
    <w:uiPriority w:val="0"/>
    <w:semiHidden/>
    <w:qFormat/>
    <w:pPr>
      <w:ind w:left="420"/>
    </w:pPr>
    <w:rPr>
      <w:szCs w:val="20"/>
    </w:rPr>
  </w:style>
  <w:style w:type="paragraph" w:styleId="928" w:customStyle="1">
    <w:name w:val="正文文本 21"/>
    <w:basedOn w:val="689"/>
    <w:link w:val="929"/>
    <w:uiPriority w:val="0"/>
    <w:qFormat/>
    <w:pPr>
      <w:spacing w:line="440" w:lineRule="exact"/>
    </w:pPr>
    <w:rPr>
      <w:rFonts w:ascii="楷体_GB2312" w:eastAsia="楷体_GB2312"/>
      <w:sz w:val="28"/>
    </w:rPr>
  </w:style>
  <w:style w:type="character" w:styleId="929" w:customStyle="1">
    <w:name w:val="正文文本 2 字符"/>
    <w:link w:val="928"/>
    <w:uiPriority w:val="0"/>
    <w:qFormat/>
    <w:rPr>
      <w:rFonts w:ascii="楷体_GB2312" w:eastAsia="楷体_GB2312"/>
      <w:sz w:val="28"/>
      <w:szCs w:val="24"/>
    </w:rPr>
  </w:style>
  <w:style w:type="paragraph" w:styleId="930" w:customStyle="1">
    <w:name w:val="批注主题1"/>
    <w:basedOn w:val="909"/>
    <w:next w:val="909"/>
    <w:link w:val="931"/>
    <w:uiPriority w:val="0"/>
    <w:qFormat/>
    <w:rPr>
      <w:b/>
      <w:bCs/>
    </w:rPr>
  </w:style>
  <w:style w:type="character" w:styleId="931" w:customStyle="1">
    <w:name w:val="批注主题 字符"/>
    <w:link w:val="930"/>
    <w:uiPriority w:val="0"/>
    <w:qFormat/>
    <w:rPr>
      <w:b/>
      <w:bCs/>
      <w:sz w:val="21"/>
      <w:szCs w:val="24"/>
    </w:rPr>
  </w:style>
  <w:style w:type="paragraph" w:styleId="932" w:customStyle="1">
    <w:name w:val="正文首行缩进 21"/>
    <w:basedOn w:val="913"/>
    <w:uiPriority w:val="0"/>
    <w:qFormat/>
    <w:pPr>
      <w:ind w:left="420" w:firstLine="420"/>
      <w:spacing w:after="120"/>
      <w:widowControl/>
    </w:pPr>
    <w:rPr>
      <w:rFonts w:ascii="仿宋_GB2312" w:eastAsia="仿宋_GB2312"/>
      <w:color w:val="ff6600"/>
      <w:sz w:val="21"/>
    </w:rPr>
  </w:style>
  <w:style w:type="table" w:styleId="933" w:customStyle="1">
    <w:name w:val="网格型1"/>
    <w:basedOn w:val="902"/>
    <w:uiPriority w:val="0"/>
    <w:qFormat/>
    <w:tblPr>
      <w:tblCellMar>
        <w:left w:w="0" w:type="dxa"/>
        <w:top w:w="0" w:type="dxa"/>
        <w:right w:w="0" w:type="dxa"/>
        <w:bottom w:w="0" w:type="dxa"/>
      </w:tblCellMar>
    </w:tblPr>
  </w:style>
  <w:style w:type="character" w:styleId="934" w:customStyle="1">
    <w:name w:val="要点1"/>
    <w:uiPriority w:val="0"/>
    <w:qFormat/>
  </w:style>
  <w:style w:type="character" w:styleId="935" w:customStyle="1">
    <w:name w:val="页码1"/>
    <w:uiPriority w:val="0"/>
    <w:qFormat/>
  </w:style>
  <w:style w:type="character" w:styleId="936" w:customStyle="1">
    <w:name w:val="已访问的超链接1"/>
    <w:uiPriority w:val="0"/>
    <w:qFormat/>
    <w:rPr>
      <w:color w:val="800080"/>
      <w:u w:val="none"/>
    </w:rPr>
  </w:style>
  <w:style w:type="character" w:styleId="937" w:customStyle="1">
    <w:name w:val="强调1"/>
    <w:uiPriority w:val="0"/>
    <w:qFormat/>
  </w:style>
  <w:style w:type="character" w:styleId="938" w:customStyle="1">
    <w:name w:val="HTML 定义1"/>
    <w:uiPriority w:val="0"/>
    <w:qFormat/>
  </w:style>
  <w:style w:type="character" w:styleId="939" w:customStyle="1">
    <w:name w:val="HTML 打字机1"/>
    <w:uiPriority w:val="0"/>
    <w:qFormat/>
    <w:rPr>
      <w:rFonts w:ascii="monospace" w:hAnsi="monospace" w:eastAsia="monospace" w:cs="monospace"/>
      <w:sz w:val="20"/>
    </w:rPr>
  </w:style>
  <w:style w:type="character" w:styleId="940" w:customStyle="1">
    <w:name w:val="HTML 缩写1"/>
    <w:uiPriority w:val="0"/>
    <w:qFormat/>
  </w:style>
  <w:style w:type="character" w:styleId="941" w:customStyle="1">
    <w:name w:val="HTML 变量1"/>
    <w:uiPriority w:val="0"/>
    <w:qFormat/>
  </w:style>
  <w:style w:type="character" w:styleId="942" w:customStyle="1">
    <w:name w:val="超链接1"/>
    <w:uiPriority w:val="0"/>
    <w:qFormat/>
    <w:rPr>
      <w:color w:val="0000ff"/>
      <w:u w:val="none"/>
    </w:rPr>
  </w:style>
  <w:style w:type="character" w:styleId="943" w:customStyle="1">
    <w:name w:val="HTML 代码1"/>
    <w:uiPriority w:val="0"/>
    <w:qFormat/>
    <w:rPr>
      <w:rFonts w:ascii="monospace" w:hAnsi="monospace" w:eastAsia="monospace" w:cs="monospace"/>
      <w:sz w:val="20"/>
    </w:rPr>
  </w:style>
  <w:style w:type="character" w:styleId="944" w:customStyle="1">
    <w:name w:val="批注引用1"/>
    <w:uiPriority w:val="0"/>
    <w:qFormat/>
    <w:rPr>
      <w:sz w:val="21"/>
      <w:szCs w:val="21"/>
    </w:rPr>
  </w:style>
  <w:style w:type="character" w:styleId="945" w:customStyle="1">
    <w:name w:val="HTML 引文1"/>
    <w:uiPriority w:val="0"/>
    <w:qFormat/>
  </w:style>
  <w:style w:type="character" w:styleId="946" w:customStyle="1">
    <w:name w:val="HTML 键盘1"/>
    <w:uiPriority w:val="0"/>
    <w:qFormat/>
    <w:rPr>
      <w:rFonts w:ascii="monospace" w:hAnsi="monospace" w:eastAsia="monospace" w:cs="monospace"/>
      <w:sz w:val="20"/>
    </w:rPr>
  </w:style>
  <w:style w:type="character" w:styleId="947" w:customStyle="1">
    <w:name w:val="HTML 样本1"/>
    <w:uiPriority w:val="0"/>
    <w:qFormat/>
    <w:rPr>
      <w:rFonts w:ascii="monospace" w:hAnsi="monospace" w:eastAsia="monospace" w:cs="monospace"/>
    </w:rPr>
  </w:style>
  <w:style w:type="character" w:styleId="948" w:customStyle="1">
    <w:name w:val="Font Style30"/>
    <w:uiPriority w:val="0"/>
    <w:qFormat/>
    <w:rPr>
      <w:rFonts w:ascii="宋体" w:eastAsia="宋体" w:cs="宋体"/>
      <w:sz w:val="14"/>
      <w:szCs w:val="14"/>
    </w:rPr>
  </w:style>
  <w:style w:type="character" w:styleId="949" w:customStyle="1">
    <w:name w:val="glyphicon"/>
    <w:uiPriority w:val="0"/>
    <w:qFormat/>
  </w:style>
  <w:style w:type="character" w:styleId="950" w:customStyle="1">
    <w:name w:val="Font Style36"/>
    <w:uiPriority w:val="0"/>
    <w:qFormat/>
    <w:rPr>
      <w:rFonts w:ascii="宋体" w:eastAsia="宋体" w:cs="宋体"/>
      <w:sz w:val="16"/>
      <w:szCs w:val="16"/>
    </w:rPr>
  </w:style>
  <w:style w:type="character" w:styleId="951" w:customStyle="1">
    <w:name w:val="hour_am"/>
    <w:uiPriority w:val="0"/>
    <w:qFormat/>
  </w:style>
  <w:style w:type="character" w:styleId="952" w:customStyle="1">
    <w:name w:val="old"/>
    <w:uiPriority w:val="0"/>
    <w:qFormat/>
    <w:rPr>
      <w:color w:val="999999"/>
    </w:rPr>
  </w:style>
  <w:style w:type="character" w:styleId="953" w:customStyle="1">
    <w:name w:val="标题 2 Char"/>
    <w:uiPriority w:val="0"/>
    <w:qFormat/>
    <w:rPr>
      <w:rFonts w:ascii="Arial" w:hAnsi="Arial" w:eastAsia="黑体"/>
      <w:b/>
      <w:sz w:val="32"/>
      <w:lang w:val="en-US" w:eastAsia="zh-CN"/>
    </w:rPr>
  </w:style>
  <w:style w:type="character" w:styleId="954" w:customStyle="1">
    <w:name w:val="hover"/>
    <w:uiPriority w:val="0"/>
    <w:qFormat/>
    <w:rPr>
      <w:shd w:val="clear" w:color="auto" w:fill="eeeeee"/>
    </w:rPr>
  </w:style>
  <w:style w:type="character" w:styleId="955" w:customStyle="1">
    <w:name w:val="hour_pm"/>
    <w:uiPriority w:val="0"/>
    <w:qFormat/>
  </w:style>
  <w:style w:type="character" w:styleId="956" w:customStyle="1">
    <w:name w:val="Font Style28"/>
    <w:uiPriority w:val="0"/>
    <w:qFormat/>
    <w:rPr>
      <w:rFonts w:ascii="Constantia" w:hAnsi="Constantia" w:cs="Constantia"/>
      <w:sz w:val="28"/>
      <w:szCs w:val="28"/>
    </w:rPr>
  </w:style>
  <w:style w:type="character" w:styleId="957" w:customStyle="1">
    <w:name w:val="Font Style29"/>
    <w:uiPriority w:val="0"/>
    <w:qFormat/>
    <w:rPr>
      <w:rFonts w:ascii="Arial" w:hAnsi="Arial" w:cs="Arial"/>
      <w:sz w:val="14"/>
      <w:szCs w:val="14"/>
    </w:rPr>
  </w:style>
  <w:style w:type="character" w:styleId="958" w:customStyle="1">
    <w:name w:val="Font Style37"/>
    <w:uiPriority w:val="0"/>
    <w:qFormat/>
    <w:rPr>
      <w:rFonts w:ascii="Arial" w:hAnsi="Arial" w:cs="Arial"/>
      <w:sz w:val="16"/>
      <w:szCs w:val="16"/>
    </w:rPr>
  </w:style>
  <w:style w:type="character" w:styleId="959" w:customStyle="1">
    <w:name w:val="Plain Text Char"/>
    <w:uiPriority w:val="0"/>
    <w:qFormat/>
    <w:rPr>
      <w:rFonts w:ascii="宋体" w:hAnsi="Courier New" w:eastAsia="宋体"/>
      <w:sz w:val="21"/>
      <w:lang w:val="en-US" w:eastAsia="zh-CN" w:bidi="ar-SA"/>
    </w:rPr>
  </w:style>
  <w:style w:type="paragraph" w:styleId="96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1" w:customStyle="1">
    <w:name w:val="默认段落字体 Para Char Char Char Char Char Char Char Char Char1 Char Char Char Char Char Char Char"/>
    <w:basedOn w:val="908"/>
    <w:uiPriority w:val="0"/>
    <w:qFormat/>
    <w:rPr>
      <w:rFonts w:ascii="Tahoma" w:hAnsi="Tahoma"/>
      <w:sz w:val="24"/>
    </w:rPr>
  </w:style>
  <w:style w:type="paragraph" w:styleId="962" w:customStyle="1">
    <w:name w:val="Style9"/>
    <w:basedOn w:val="689"/>
    <w:uiPriority w:val="0"/>
    <w:qFormat/>
    <w:pPr>
      <w:jc w:val="left"/>
    </w:pPr>
    <w:rPr>
      <w:rFonts w:ascii="宋体"/>
      <w:sz w:val="24"/>
    </w:rPr>
  </w:style>
  <w:style w:type="paragraph" w:styleId="963" w:customStyle="1">
    <w:name w:val="Char"/>
    <w:basedOn w:val="689"/>
    <w:uiPriority w:val="0"/>
    <w:qFormat/>
    <w:pPr>
      <w:tabs>
        <w:tab w:val="left" w:pos="360" w:leader="none"/>
      </w:tabs>
    </w:pPr>
    <w:rPr>
      <w:sz w:val="24"/>
    </w:rPr>
  </w:style>
  <w:style w:type="paragraph" w:styleId="964" w:customStyle="1">
    <w:name w:val="Char Char Char1 Char Char Char Char"/>
    <w:basedOn w:val="689"/>
    <w:uiPriority w:val="0"/>
    <w:qFormat/>
    <w:pPr>
      <w:jc w:val="left"/>
      <w:spacing w:after="160" w:line="240" w:lineRule="exact"/>
      <w:widowControl/>
    </w:pPr>
    <w:rPr>
      <w:rFonts w:ascii="宋体" w:hAnsi="宋体"/>
      <w:b/>
      <w:sz w:val="28"/>
      <w:szCs w:val="28"/>
    </w:rPr>
  </w:style>
  <w:style w:type="paragraph" w:styleId="965" w:customStyle="1">
    <w:name w:val="Style10"/>
    <w:basedOn w:val="689"/>
    <w:uiPriority w:val="0"/>
    <w:qFormat/>
    <w:pPr>
      <w:jc w:val="left"/>
    </w:pPr>
    <w:rPr>
      <w:rFonts w:ascii="宋体"/>
      <w:sz w:val="24"/>
    </w:rPr>
  </w:style>
  <w:style w:type="paragraph" w:styleId="966" w:customStyle="1">
    <w:name w:val="首行缩进"/>
    <w:basedOn w:val="689"/>
    <w:uiPriority w:val="0"/>
    <w:qFormat/>
    <w:pPr>
      <w:ind w:firstLine="420"/>
      <w:spacing w:line="360" w:lineRule="auto"/>
    </w:pPr>
    <w:rPr>
      <w:sz w:val="20"/>
    </w:rPr>
  </w:style>
  <w:style w:type="paragraph" w:styleId="967" w:customStyle="1">
    <w:name w:val="普通正文"/>
    <w:basedOn w:val="689"/>
    <w:uiPriority w:val="0"/>
    <w:qFormat/>
    <w:pPr>
      <w:ind w:firstLine="480"/>
      <w:jc w:val="left"/>
      <w:spacing w:before="120" w:after="120" w:line="360" w:lineRule="auto"/>
    </w:pPr>
    <w:rPr>
      <w:rFonts w:ascii="Arial" w:hAnsi="Arial"/>
      <w:sz w:val="24"/>
    </w:rPr>
  </w:style>
  <w:style w:type="paragraph" w:styleId="968" w:customStyle="1">
    <w:name w:val="要点标题"/>
    <w:basedOn w:val="689"/>
    <w:uiPriority w:val="0"/>
    <w:qFormat/>
    <w:pPr>
      <w:numPr>
        <w:ilvl w:val="0"/>
        <w:numId w:val="1"/>
      </w:numPr>
      <w:jc w:val="left"/>
    </w:pPr>
    <w:rPr>
      <w:rFonts w:ascii="宋体" w:hAnsi="宋体"/>
      <w:b/>
      <w:sz w:val="24"/>
    </w:rPr>
  </w:style>
  <w:style w:type="paragraph" w:styleId="969" w:customStyle="1">
    <w:name w:val="文档正文"/>
    <w:basedOn w:val="689"/>
    <w:uiPriority w:val="0"/>
    <w:qFormat/>
    <w:pPr>
      <w:ind w:firstLine="567"/>
      <w:spacing w:line="480" w:lineRule="atLeast"/>
    </w:pPr>
    <w:rPr>
      <w:rFonts w:ascii="仿宋_GB2312"/>
      <w:szCs w:val="20"/>
    </w:rPr>
  </w:style>
  <w:style w:type="paragraph" w:styleId="970" w:customStyle="1">
    <w:name w:val="Char Char Char Char"/>
    <w:basedOn w:val="908"/>
    <w:uiPriority w:val="0"/>
    <w:qFormat/>
    <w:pPr>
      <w:spacing w:line="360" w:lineRule="auto"/>
    </w:pPr>
    <w:rPr>
      <w:rFonts w:ascii="Tahoma" w:hAnsi="Tahoma"/>
      <w:sz w:val="24"/>
    </w:rPr>
  </w:style>
  <w:style w:type="paragraph" w:styleId="971" w:customStyle="1">
    <w:name w:val="Char11"/>
    <w:basedOn w:val="689"/>
    <w:uiPriority w:val="0"/>
    <w:qFormat/>
    <w:pPr>
      <w:ind w:left="420" w:hanging="420"/>
      <w:jc w:val="left"/>
      <w:tabs>
        <w:tab w:val="left" w:pos="420" w:leader="none"/>
      </w:tabs>
    </w:pPr>
    <w:rPr>
      <w:szCs w:val="20"/>
    </w:rPr>
  </w:style>
  <w:style w:type="paragraph" w:styleId="972" w:customStyle="1">
    <w:name w:val="正文（无缩进）"/>
    <w:basedOn w:val="689"/>
    <w:uiPriority w:val="0"/>
    <w:qFormat/>
    <w:pPr>
      <w:spacing w:line="360" w:lineRule="auto"/>
    </w:pPr>
    <w:rPr>
      <w:rFonts w:ascii="Calibri" w:hAnsi="Calibri"/>
      <w:sz w:val="24"/>
      <w:szCs w:val="21"/>
    </w:rPr>
  </w:style>
  <w:style w:type="paragraph" w:styleId="973" w:customStyle="1">
    <w:name w:val="Style11"/>
    <w:basedOn w:val="689"/>
    <w:uiPriority w:val="0"/>
    <w:qFormat/>
    <w:pPr>
      <w:jc w:val="left"/>
      <w:spacing w:line="446" w:lineRule="exact"/>
    </w:pPr>
    <w:rPr>
      <w:rFonts w:ascii="宋体"/>
      <w:sz w:val="24"/>
    </w:rPr>
  </w:style>
  <w:style w:type="paragraph" w:styleId="974" w:customStyle="1">
    <w:name w:val="样式1"/>
    <w:basedOn w:val="689"/>
    <w:uiPriority w:val="0"/>
    <w:qFormat/>
    <w:pPr>
      <w:ind w:left="432" w:firstLine="288"/>
      <w:tabs>
        <w:tab w:val="left" w:pos="1110" w:leader="none"/>
      </w:tabs>
    </w:pPr>
    <w:rPr>
      <w:rFonts w:ascii="宋体" w:hAnsi="宋体"/>
      <w:szCs w:val="21"/>
    </w:rPr>
  </w:style>
  <w:style w:type="paragraph" w:styleId="975" w:customStyle="1">
    <w:name w:val="_Style 56"/>
    <w:basedOn w:val="908"/>
    <w:uiPriority w:val="0"/>
    <w:qFormat/>
    <w:pPr>
      <w:spacing w:line="436" w:lineRule="exact"/>
    </w:pPr>
    <w:rPr>
      <w:szCs w:val="20"/>
    </w:rPr>
  </w:style>
  <w:style w:type="paragraph" w:styleId="976" w:customStyle="1">
    <w:name w:val="Char Char1 Char Char Char Char Char Char"/>
    <w:basedOn w:val="689"/>
    <w:uiPriority w:val="0"/>
    <w:qFormat/>
    <w:pPr>
      <w:jc w:val="center"/>
      <w:widowControl/>
    </w:pPr>
    <w:rPr>
      <w:rFonts w:ascii="宋体" w:hAnsi="宋体"/>
      <w:b/>
      <w:sz w:val="24"/>
      <w:lang w:eastAsia="en-US"/>
    </w:rPr>
  </w:style>
  <w:style w:type="paragraph" w:styleId="977" w:customStyle="1">
    <w:name w:val="Char1"/>
    <w:basedOn w:val="689"/>
    <w:uiPriority w:val="0"/>
    <w:qFormat/>
    <w:pPr>
      <w:ind w:left="840" w:hanging="420"/>
      <w:tabs>
        <w:tab w:val="left" w:pos="840" w:leader="none"/>
      </w:tabs>
    </w:pPr>
    <w:rPr>
      <w:sz w:val="24"/>
    </w:rPr>
  </w:style>
  <w:style w:type="paragraph" w:styleId="978" w:customStyle="1">
    <w:name w:val="我的样式"/>
    <w:basedOn w:val="896"/>
    <w:next w:val="689"/>
    <w:uiPriority w:val="0"/>
    <w:qFormat/>
    <w:pPr>
      <w:numPr>
        <w:ilvl w:val="0"/>
        <w:numId w:val="2"/>
      </w:numPr>
      <w:spacing w:line="360" w:lineRule="auto"/>
    </w:pPr>
    <w:rPr>
      <w:rFonts w:ascii="仿宋_GB2312" w:eastAsia="仿宋_GB2312"/>
      <w:sz w:val="32"/>
      <w:szCs w:val="30"/>
    </w:rPr>
  </w:style>
  <w:style w:type="paragraph" w:styleId="979"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0" w:customStyle="1">
    <w:name w:val="Char Char Char Char Char Char Char Char Char Char Char Char Char"/>
    <w:basedOn w:val="689"/>
    <w:uiPriority w:val="0"/>
    <w:qFormat/>
    <w:pPr>
      <w:jc w:val="left"/>
      <w:spacing w:after="160" w:line="240" w:lineRule="exact"/>
      <w:widowControl/>
    </w:pPr>
    <w:rPr>
      <w:rFonts w:ascii="Verdana" w:hAnsi="Verdana"/>
      <w:sz w:val="20"/>
      <w:szCs w:val="20"/>
      <w:lang w:eastAsia="en-US"/>
    </w:rPr>
  </w:style>
  <w:style w:type="paragraph" w:styleId="981" w:customStyle="1">
    <w:name w:val="标题1"/>
    <w:basedOn w:val="896"/>
    <w:next w:val="689"/>
    <w:uiPriority w:val="0"/>
    <w:qFormat/>
    <w:pPr>
      <w:numPr>
        <w:ilvl w:val="0"/>
        <w:numId w:val="3"/>
      </w:numPr>
      <w:jc w:val="left"/>
      <w:spacing w:line="578" w:lineRule="atLeast"/>
    </w:pPr>
  </w:style>
  <w:style w:type="paragraph" w:styleId="982" w:customStyle="1">
    <w:name w:val="正文（缩进） Char1"/>
    <w:basedOn w:val="689"/>
    <w:uiPriority w:val="0"/>
    <w:qFormat/>
    <w:pPr>
      <w:ind w:firstLine="480"/>
      <w:spacing w:before="156" w:after="156" w:line="360" w:lineRule="auto"/>
    </w:pPr>
    <w:rPr>
      <w:sz w:val="24"/>
    </w:rPr>
  </w:style>
  <w:style w:type="paragraph" w:styleId="98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84" w:customStyle="1">
    <w:name w:val="Style12"/>
    <w:basedOn w:val="689"/>
    <w:uiPriority w:val="0"/>
    <w:qFormat/>
    <w:pPr>
      <w:jc w:val="left"/>
    </w:pPr>
    <w:rPr>
      <w:rFonts w:ascii="宋体"/>
      <w:sz w:val="24"/>
    </w:rPr>
  </w:style>
  <w:style w:type="paragraph" w:styleId="985" w:customStyle="1">
    <w:name w:val="*正文"/>
    <w:basedOn w:val="905"/>
    <w:uiPriority w:val="0"/>
    <w:qFormat/>
    <w:pPr>
      <w:ind w:firstLine="200"/>
      <w:spacing w:line="360" w:lineRule="auto"/>
    </w:pPr>
    <w:rPr>
      <w:rFonts w:eastAsia="仿宋"/>
      <w:color w:val="000000"/>
      <w:sz w:val="28"/>
    </w:rPr>
  </w:style>
  <w:style w:type="character" w:styleId="986" w:customStyle="1">
    <w:name w:val="font51"/>
    <w:basedOn w:val="699"/>
    <w:uiPriority w:val="0"/>
    <w:qFormat/>
    <w:rPr>
      <w:rFonts w:hint="default" w:ascii="Times New Roman" w:hAnsi="Times New Roman" w:cs="Times New Roman"/>
      <w:color w:val="000000"/>
      <w:sz w:val="24"/>
      <w:szCs w:val="24"/>
      <w:u w:val="none"/>
    </w:rPr>
  </w:style>
  <w:style w:type="character" w:styleId="987" w:customStyle="1">
    <w:name w:val="font41"/>
    <w:basedOn w:val="699"/>
    <w:uiPriority w:val="0"/>
    <w:qFormat/>
    <w:rPr>
      <w:rFonts w:hint="eastAsia" w:ascii="仿宋" w:hAnsi="仿宋" w:eastAsia="仿宋" w:cs="仿宋"/>
      <w:color w:val="000000"/>
      <w:sz w:val="24"/>
      <w:szCs w:val="24"/>
      <w:u w:val="none"/>
    </w:rPr>
  </w:style>
  <w:style w:type="character" w:styleId="988" w:customStyle="1">
    <w:name w:val="批注框文本 Char"/>
    <w:basedOn w:val="699"/>
    <w:link w:val="712"/>
    <w:uiPriority w:val="99"/>
    <w:semiHidden/>
    <w:qFormat/>
    <w:rPr>
      <w:sz w:val="18"/>
      <w:szCs w:val="18"/>
    </w:rPr>
  </w:style>
  <w:style w:type="paragraph" w:styleId="989" w:customStyle="1">
    <w:name w:val="be358f00-9758-446e-aec5-cde8345aeef3"/>
    <w:basedOn w:val="724"/>
    <w:uiPriority w:val="0"/>
    <w:qFormat/>
    <w:pPr>
      <w:ind w:left="0" w:firstLine="440"/>
      <w:spacing w:after="0" w:line="288" w:lineRule="auto"/>
    </w:pPr>
    <w:rPr>
      <w:rFonts w:ascii="微软雅黑" w:hAnsi="微软雅黑" w:eastAsia="微软雅黑"/>
      <w:spacing w:val="18"/>
      <w:sz w:val="22"/>
      <w:szCs w:val="32"/>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夏少进</cp:lastModifiedBy>
  <cp:revision>7</cp:revision>
  <dcterms:created xsi:type="dcterms:W3CDTF">2025-09-19T02:33:00Z</dcterms:created>
  <dcterms:modified xsi:type="dcterms:W3CDTF">2025-10-24T09:32:14Z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eyJoZGlkIjoiNzM1NWVmNzJiNTdkNDJmYzQ1ZGNiOWFjZjc3NGQyOTMiLCJ1c2VySWQiOiI0NjE3OTU5NTIifQ==</vt:lpwstr>
  </property>
  <property fmtid="{D5CDD505-2E9C-101B-9397-08002B2CF9AE}" pid="3" name="KSOProductBuildVer">
    <vt:lpwstr>2052-12.1.0.23542</vt:lpwstr>
  </property>
  <property fmtid="{D5CDD505-2E9C-101B-9397-08002B2CF9AE}" pid="4" name="ICV">
    <vt:lpwstr>9687C55612114AEFA25E02383A3698E3_13</vt:lpwstr>
  </property>
</Properties>
</file>